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56F0" w:rsidRPr="00E239FC" w:rsidRDefault="00BD56F0" w:rsidP="00BD56F0">
      <w:pPr>
        <w:spacing w:beforeLines="60" w:before="144" w:afterLines="60" w:after="144"/>
        <w:jc w:val="center"/>
        <w:rPr>
          <w:b/>
          <w:bCs/>
          <w:color w:val="000000" w:themeColor="text1"/>
          <w:sz w:val="28"/>
          <w:szCs w:val="28"/>
        </w:rPr>
      </w:pPr>
      <w:r w:rsidRPr="00E239FC">
        <w:rPr>
          <w:b/>
          <w:bCs/>
          <w:color w:val="000000" w:themeColor="text1"/>
          <w:sz w:val="28"/>
          <w:szCs w:val="28"/>
        </w:rPr>
        <w:t>Рекомендации для формирования стоимости работ по техническому перевооружению и реконструкции.</w:t>
      </w:r>
    </w:p>
    <w:p w:rsidR="00BD56F0" w:rsidRPr="00EE714E" w:rsidRDefault="00BD56F0" w:rsidP="00BD56F0">
      <w:pPr>
        <w:numPr>
          <w:ilvl w:val="0"/>
          <w:numId w:val="1"/>
        </w:numPr>
        <w:shd w:val="clear" w:color="auto" w:fill="FFFFFF"/>
        <w:tabs>
          <w:tab w:val="left" w:pos="709"/>
        </w:tabs>
        <w:autoSpaceDE w:val="0"/>
        <w:autoSpaceDN w:val="0"/>
        <w:adjustRightInd w:val="0"/>
        <w:spacing w:before="240" w:after="240"/>
        <w:jc w:val="both"/>
        <w:outlineLvl w:val="0"/>
        <w:rPr>
          <w:bCs/>
        </w:rPr>
      </w:pPr>
      <w:r w:rsidRPr="00EE714E">
        <w:rPr>
          <w:bCs/>
        </w:rPr>
        <w:t>МЕТОДЫ ОПРЕДЕЛЕНИЯ СМЕТНОЙ СТОИМОСТИ РАБОТ ПО ТПиР</w:t>
      </w:r>
    </w:p>
    <w:p w:rsidR="00BD56F0" w:rsidRPr="00EE714E" w:rsidRDefault="00BD56F0" w:rsidP="00BD56F0">
      <w:pPr>
        <w:numPr>
          <w:ilvl w:val="1"/>
          <w:numId w:val="1"/>
        </w:numPr>
        <w:spacing w:line="276" w:lineRule="auto"/>
        <w:ind w:left="0" w:firstLine="851"/>
        <w:jc w:val="both"/>
        <w:rPr>
          <w:lang w:eastAsia="en-US"/>
        </w:rPr>
      </w:pPr>
      <w:r w:rsidRPr="00EE714E">
        <w:rPr>
          <w:lang w:eastAsia="en-US"/>
        </w:rPr>
        <w:t>При определении стоимости мероприятий по ТПиР приоритетным методом составления сметных расчётов является ресурсно-индексный метод - применение сметных норм, сметных цен строительных ресурсов в базисном уровне цен с учетом индексов изменения сметной стоимости строительства по группам однородных строительных ресурсов, информация о которых размещена в ФГИС ЦС, с одновременным применением информации о сметных ценах, размещенной в ФГИС ЦС.</w:t>
      </w:r>
    </w:p>
    <w:p w:rsidR="00BD56F0" w:rsidRPr="00EE714E" w:rsidRDefault="00BD56F0" w:rsidP="00BD56F0">
      <w:pPr>
        <w:numPr>
          <w:ilvl w:val="1"/>
          <w:numId w:val="1"/>
        </w:numPr>
        <w:spacing w:line="276" w:lineRule="auto"/>
        <w:ind w:left="0" w:firstLine="851"/>
        <w:jc w:val="both"/>
        <w:rPr>
          <w:lang w:eastAsia="en-US"/>
        </w:rPr>
      </w:pPr>
      <w:r w:rsidRPr="00EE714E">
        <w:rPr>
          <w:lang w:eastAsia="en-US"/>
        </w:rPr>
        <w:t>Для определения стоимости мероприятий по ТПиР рекомендуется руководствоваться следующей приоритетностью применяемых СНБ и способов:</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актуальная СНБ Минстроя России;</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БЦ РЭО;</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Прейскурант на экспериментально-наладочные работы и работы по совершенствованию технологии и эксплуатации электростанций и сетей, разработанный Фирмой ОРГРЭС;</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ВУЕР, ВЕПР, ВСН и другие ведомственные сметные нормативы;</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в случаях отсутствия проектно-сметной документации – укрупненные нормативы цены строительства (НЦС) и укрупненные нормативы цены конструктивных решений (НЦКР);</w:t>
      </w:r>
    </w:p>
    <w:p w:rsidR="00BD56F0" w:rsidRPr="00EE714E" w:rsidRDefault="00BD56F0" w:rsidP="00BD56F0">
      <w:pPr>
        <w:numPr>
          <w:ilvl w:val="1"/>
          <w:numId w:val="1"/>
        </w:numPr>
        <w:spacing w:line="276" w:lineRule="auto"/>
        <w:ind w:left="0" w:firstLine="851"/>
        <w:jc w:val="both"/>
        <w:rPr>
          <w:lang w:eastAsia="en-US"/>
        </w:rPr>
      </w:pPr>
      <w:r w:rsidRPr="00EE714E">
        <w:rPr>
          <w:lang w:eastAsia="en-US"/>
        </w:rPr>
        <w:t xml:space="preserve">При определении сметной стоимости ресурсно-индексным методом на стадии планирования и реализации мероприятий по техническому перевооружению и реконструкции применение актуальных индексов изменения сметной стоимости отдельных строительных ресурсов, а также по группам однородных строительных ресурсов, размещенных в ФГИС ЦС, производится в случае отсутствия текущих сметных цен строительных ресурсов в ФГИС ЦС. Для проектно-изыскательских работ применяются индексы по видам работ, публикуемые Минстроем России. </w:t>
      </w:r>
    </w:p>
    <w:p w:rsidR="00BD56F0" w:rsidRPr="00EE714E" w:rsidRDefault="00BD56F0" w:rsidP="00BD56F0">
      <w:pPr>
        <w:numPr>
          <w:ilvl w:val="1"/>
          <w:numId w:val="1"/>
        </w:numPr>
        <w:spacing w:line="276" w:lineRule="auto"/>
        <w:ind w:left="0" w:firstLine="851"/>
        <w:jc w:val="both"/>
        <w:rPr>
          <w:lang w:eastAsia="en-US"/>
        </w:rPr>
      </w:pPr>
      <w:r w:rsidRPr="00EE714E">
        <w:rPr>
          <w:lang w:eastAsia="en-US"/>
        </w:rPr>
        <w:t>При необходимости срок реализации мероприятия учитывается посредством применения к стоимости мероприятия в целом (в том числе и стоимости оборудования) значений индекса-дефлятора «Темп роста индекса-дефлятора валового накопления основного капитала (инвестиций)», содержащихся в составе прогноза социально-экономического развития Российской Федерации, опубликованного Минэкономразвития России на момент составления сметной документации, дифференцировано по статьям затрат:</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при определении стоимости оборудования значение индекса-дефлятора определяется исходя из сроков проведения закупочных процедур (расчетный период – квартал);</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при определении стоимости проектно-изыскательских работ значение индекса-дефлятора учитывается на середину срока выполнения работ (расчетный период – квартал);</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при определении стоимости строительно-монтажных, пусконаладочных и прочих работ значение индекса-дефлятора определяется на основании графика выполнения работ и (или) иных исходных данных (расчетный период – квартал), в случае отсутствия поквартальных данных значение индекса-дефлятора определяется на середину периода.</w:t>
      </w:r>
    </w:p>
    <w:p w:rsidR="00BD56F0" w:rsidRPr="00EE714E" w:rsidRDefault="00BD56F0" w:rsidP="00BD56F0">
      <w:pPr>
        <w:numPr>
          <w:ilvl w:val="1"/>
          <w:numId w:val="1"/>
        </w:numPr>
        <w:spacing w:line="276" w:lineRule="auto"/>
        <w:ind w:left="0" w:firstLine="851"/>
        <w:jc w:val="both"/>
        <w:rPr>
          <w:lang w:eastAsia="en-US"/>
        </w:rPr>
      </w:pPr>
      <w:r w:rsidRPr="00EE714E">
        <w:rPr>
          <w:lang w:eastAsia="en-US"/>
        </w:rPr>
        <w:lastRenderedPageBreak/>
        <w:t>Расчетные значения индексов-дефляторов отражаются наглядно в ССР (с указанием формул расчета и ссылок на источники информации).</w:t>
      </w:r>
    </w:p>
    <w:p w:rsidR="00BD56F0" w:rsidRPr="00EE714E" w:rsidRDefault="00BD56F0" w:rsidP="00BD56F0">
      <w:pPr>
        <w:numPr>
          <w:ilvl w:val="1"/>
          <w:numId w:val="1"/>
        </w:numPr>
        <w:spacing w:line="276" w:lineRule="auto"/>
        <w:ind w:left="0" w:firstLine="851"/>
        <w:jc w:val="both"/>
        <w:rPr>
          <w:lang w:eastAsia="en-US"/>
        </w:rPr>
      </w:pPr>
      <w:r w:rsidRPr="00EE714E">
        <w:rPr>
          <w:rFonts w:eastAsia="Calibri"/>
        </w:rPr>
        <w:t>При определении стоимости строительных ресурсов в случае их отсутствия во ФГИС ЦС рекомендуется руководствоваться положениями актуальной редакции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421/пр.</w:t>
      </w:r>
    </w:p>
    <w:p w:rsidR="00BD56F0" w:rsidRPr="00EE714E" w:rsidRDefault="00BD56F0" w:rsidP="00BD56F0">
      <w:pPr>
        <w:numPr>
          <w:ilvl w:val="1"/>
          <w:numId w:val="1"/>
        </w:numPr>
        <w:spacing w:line="276" w:lineRule="auto"/>
        <w:ind w:left="0" w:firstLine="851"/>
        <w:jc w:val="both"/>
        <w:rPr>
          <w:b/>
          <w:lang w:eastAsia="en-US"/>
        </w:rPr>
      </w:pPr>
      <w:r w:rsidRPr="00EE714E">
        <w:rPr>
          <w:lang w:eastAsia="en-US"/>
        </w:rPr>
        <w:t>Уровень предельных значений поправочных индексов для пересчета в текущие (прогнозные) цены к ценам сборников БЦ РЭО, Прейскурантов и иных Ведомственных сборников (ОРГРЭС, ВУЕР, ВСН и т.п.) при подаче предложений принимается на уровне, не выше установленного заказчиком.</w:t>
      </w:r>
    </w:p>
    <w:p w:rsidR="00BD56F0" w:rsidRPr="00EE714E" w:rsidRDefault="00BD56F0" w:rsidP="00BD56F0">
      <w:pPr>
        <w:keepNext/>
        <w:keepLines/>
        <w:numPr>
          <w:ilvl w:val="0"/>
          <w:numId w:val="1"/>
        </w:numPr>
        <w:spacing w:before="480" w:line="276" w:lineRule="auto"/>
        <w:jc w:val="both"/>
        <w:outlineLvl w:val="0"/>
        <w:rPr>
          <w:smallCaps/>
          <w:spacing w:val="5"/>
        </w:rPr>
      </w:pPr>
      <w:r w:rsidRPr="00EE714E">
        <w:rPr>
          <w:smallCaps/>
          <w:spacing w:val="5"/>
        </w:rPr>
        <w:t>ИСХОДНЫЕ ДАННЫЕ ДЛЯ ОПРЕДЕЛЕНИЯ СМЕТНОЙ СТОИМОСТИ РАБОТ ПО ТПиР</w:t>
      </w:r>
    </w:p>
    <w:p w:rsidR="00BD56F0" w:rsidRPr="00EE714E" w:rsidRDefault="00BD56F0" w:rsidP="00BD56F0">
      <w:pPr>
        <w:numPr>
          <w:ilvl w:val="1"/>
          <w:numId w:val="1"/>
        </w:numPr>
        <w:shd w:val="clear" w:color="auto" w:fill="FFFFFF"/>
        <w:tabs>
          <w:tab w:val="left" w:pos="709"/>
        </w:tabs>
        <w:autoSpaceDE w:val="0"/>
        <w:autoSpaceDN w:val="0"/>
        <w:adjustRightInd w:val="0"/>
        <w:spacing w:before="240" w:after="240"/>
        <w:contextualSpacing/>
        <w:jc w:val="both"/>
        <w:outlineLvl w:val="0"/>
      </w:pPr>
      <w:r w:rsidRPr="00EE714E">
        <w:rPr>
          <w:color w:val="000000"/>
        </w:rPr>
        <w:t>Основанием для определения сметной стоимости объектов ТПиР являются:</w:t>
      </w:r>
    </w:p>
    <w:p w:rsidR="00BD56F0" w:rsidRPr="00EE714E" w:rsidRDefault="00BD56F0" w:rsidP="00BD56F0">
      <w:pPr>
        <w:numPr>
          <w:ilvl w:val="0"/>
          <w:numId w:val="2"/>
        </w:numPr>
        <w:tabs>
          <w:tab w:val="num" w:pos="142"/>
          <w:tab w:val="left" w:pos="1134"/>
        </w:tabs>
        <w:spacing w:line="276" w:lineRule="auto"/>
        <w:ind w:left="0" w:firstLine="851"/>
        <w:jc w:val="both"/>
      </w:pPr>
      <w:r w:rsidRPr="00EE714E">
        <w:rPr>
          <w:color w:val="000000"/>
        </w:rPr>
        <w:t xml:space="preserve">проектная </w:t>
      </w:r>
      <w:r w:rsidRPr="00EE714E">
        <w:t>документация;</w:t>
      </w:r>
    </w:p>
    <w:p w:rsidR="00BD56F0" w:rsidRPr="00EE714E" w:rsidRDefault="00BD56F0" w:rsidP="00BD56F0">
      <w:pPr>
        <w:numPr>
          <w:ilvl w:val="0"/>
          <w:numId w:val="2"/>
        </w:numPr>
        <w:tabs>
          <w:tab w:val="num" w:pos="142"/>
          <w:tab w:val="left" w:pos="1134"/>
        </w:tabs>
        <w:spacing w:line="276" w:lineRule="auto"/>
        <w:ind w:left="0" w:firstLine="851"/>
        <w:jc w:val="both"/>
      </w:pPr>
      <w:r w:rsidRPr="00EE714E">
        <w:t>рабочая документация, включая рабочие чертежи, спецификации оборудования и изделий;</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задание на проектирование;</w:t>
      </w:r>
    </w:p>
    <w:p w:rsidR="00BD56F0" w:rsidRPr="00EE714E" w:rsidRDefault="00BD56F0" w:rsidP="00BD56F0">
      <w:pPr>
        <w:numPr>
          <w:ilvl w:val="0"/>
          <w:numId w:val="2"/>
        </w:numPr>
        <w:tabs>
          <w:tab w:val="num" w:pos="142"/>
          <w:tab w:val="left" w:pos="1134"/>
        </w:tabs>
        <w:spacing w:line="276" w:lineRule="auto"/>
        <w:ind w:left="0" w:firstLine="851"/>
        <w:jc w:val="both"/>
      </w:pPr>
      <w:r w:rsidRPr="00EE714E">
        <w:t>техническое задание;</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ведомости объемов работ (ВОР), утверждённые техническим руководителем (главным инженером либо лицом, им уполномоченным), с указанием наименований работ, их единиц измерения и количества, ссылок на чертежи и спецификации (в случае формирования стоимости на основании проектной и (или) иной технической документации), расчета объемов работ и расхода материальных ресурсов (с приведением формул расчета);</w:t>
      </w:r>
    </w:p>
    <w:p w:rsidR="00BD56F0" w:rsidRPr="00EE714E" w:rsidRDefault="00BD56F0" w:rsidP="00BD56F0">
      <w:pPr>
        <w:numPr>
          <w:ilvl w:val="0"/>
          <w:numId w:val="2"/>
        </w:numPr>
        <w:tabs>
          <w:tab w:val="num" w:pos="142"/>
          <w:tab w:val="left" w:pos="1134"/>
        </w:tabs>
        <w:spacing w:line="276" w:lineRule="auto"/>
        <w:ind w:left="0" w:firstLine="851"/>
        <w:jc w:val="both"/>
      </w:pPr>
      <w:r w:rsidRPr="00EE714E">
        <w:t>утвержденные заказчиком программа и график производства работ для определения сметной стоимости ПНР;</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данные об отпускных ценах и расходах по транспортировке отдельных материалов, изделий и конструкций, оборудования, запасных частей, мебели, инструмента, производственного и хозяйственного инвентаря;</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адресные ТКП, полученные от поставщиков, информация о которых имеется в свободном доступе и обладающих необходимым уровнем квалификации и опытом поставок, со сроком давности на момент формирования/актуализации материалов, обосновывающих стоимость объекта ТПиР, не превышающим 1 год;</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проект производства работ, технологические карты (при наличии), утверждённые техническим руководителем (главным инженером либо лицом, им уполномоченным), документация заводов-изготовителей основного оборудования;</w:t>
      </w:r>
    </w:p>
    <w:p w:rsidR="00BD56F0" w:rsidRPr="00EE714E" w:rsidRDefault="00BD56F0" w:rsidP="00BD56F0">
      <w:pPr>
        <w:numPr>
          <w:ilvl w:val="0"/>
          <w:numId w:val="2"/>
        </w:numPr>
        <w:tabs>
          <w:tab w:val="num" w:pos="142"/>
          <w:tab w:val="left" w:pos="1134"/>
        </w:tabs>
        <w:spacing w:line="276" w:lineRule="auto"/>
        <w:ind w:left="0" w:firstLine="851"/>
        <w:jc w:val="both"/>
        <w:rPr>
          <w:color w:val="000000"/>
        </w:rPr>
      </w:pPr>
      <w:r w:rsidRPr="00EE714E">
        <w:t>иные исходные данные</w:t>
      </w:r>
      <w:r w:rsidRPr="00EE714E">
        <w:rPr>
          <w:color w:val="000000"/>
        </w:rPr>
        <w:t>, необходимые для определения стоимости работ.</w:t>
      </w:r>
    </w:p>
    <w:p w:rsidR="00BD56F0" w:rsidRPr="00EE714E" w:rsidRDefault="00BD56F0" w:rsidP="00BD56F0">
      <w:pPr>
        <w:keepNext/>
        <w:keepLines/>
        <w:numPr>
          <w:ilvl w:val="0"/>
          <w:numId w:val="1"/>
        </w:numPr>
        <w:spacing w:before="480" w:line="276" w:lineRule="auto"/>
        <w:jc w:val="both"/>
        <w:outlineLvl w:val="0"/>
      </w:pPr>
      <w:r w:rsidRPr="00EE714E">
        <w:lastRenderedPageBreak/>
        <w:t>ОСОБЕННОСТИ ПРИМЕНЕНИЯ СМЕТНЫХ НОРМ</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rPr>
          <w:shd w:val="clear" w:color="auto" w:fill="FFFFFF"/>
          <w:lang w:eastAsia="en-US"/>
        </w:rPr>
        <w:t>Для опред</w:t>
      </w:r>
      <w:r w:rsidRPr="00EE714E">
        <w:t>еления сметной стоимости строительных и специальных строительных, ремонтно-строительных и пусконаладочных работ, работ по монтажу оборудования мероприятий по ТПиР приоритетным является применение сметных норм СНБ-2022 Минстроя России.</w:t>
      </w:r>
    </w:p>
    <w:p w:rsidR="00BD56F0" w:rsidRPr="00EE714E" w:rsidRDefault="00BD56F0" w:rsidP="00BD56F0">
      <w:pPr>
        <w:numPr>
          <w:ilvl w:val="1"/>
          <w:numId w:val="1"/>
        </w:numPr>
        <w:tabs>
          <w:tab w:val="left" w:pos="851"/>
          <w:tab w:val="left" w:pos="1418"/>
        </w:tabs>
        <w:spacing w:line="276" w:lineRule="auto"/>
        <w:ind w:left="0" w:firstLine="851"/>
        <w:contextualSpacing/>
        <w:jc w:val="both"/>
        <w:rPr>
          <w:shd w:val="clear" w:color="auto" w:fill="FFFFFF"/>
          <w:lang w:eastAsia="en-US"/>
        </w:rPr>
      </w:pPr>
      <w:r w:rsidRPr="00EE714E">
        <w:rPr>
          <w:shd w:val="clear" w:color="auto" w:fill="FFFFFF"/>
          <w:lang w:eastAsia="en-US"/>
        </w:rPr>
        <w:t>Порядок и особенности применения сметных норм регламентируются положениями Методики применения сметных норм, утвержденной приказом Минстроя России от 14.07.2022 № 571/пр (далее – Методика 571/пр) и положениями технических частей сборников.</w:t>
      </w:r>
    </w:p>
    <w:p w:rsidR="00BD56F0" w:rsidRPr="00EE714E" w:rsidRDefault="00BD56F0" w:rsidP="00BD56F0">
      <w:pPr>
        <w:numPr>
          <w:ilvl w:val="1"/>
          <w:numId w:val="1"/>
        </w:numPr>
        <w:tabs>
          <w:tab w:val="left" w:pos="851"/>
          <w:tab w:val="left" w:pos="1418"/>
        </w:tabs>
        <w:spacing w:line="276" w:lineRule="auto"/>
        <w:ind w:left="0" w:firstLine="851"/>
        <w:contextualSpacing/>
        <w:jc w:val="both"/>
        <w:rPr>
          <w:shd w:val="clear" w:color="auto" w:fill="FFFFFF"/>
          <w:lang w:eastAsia="en-US"/>
        </w:rPr>
      </w:pPr>
      <w:r w:rsidRPr="00EE714E">
        <w:rPr>
          <w:shd w:val="clear" w:color="auto" w:fill="FFFFFF"/>
          <w:lang w:eastAsia="en-US"/>
        </w:rPr>
        <w:t>Стоимость строительных и специальных строительных, ремонтно-строительных и пусконаладочных работ, работ по монтажу оборудования при ресурсном и ресурсно-индексном методе включает:</w:t>
      </w:r>
    </w:p>
    <w:p w:rsidR="00BD56F0" w:rsidRPr="00EE714E" w:rsidRDefault="00BD56F0" w:rsidP="00BD56F0">
      <w:pPr>
        <w:numPr>
          <w:ilvl w:val="0"/>
          <w:numId w:val="2"/>
        </w:numPr>
        <w:tabs>
          <w:tab w:val="left" w:pos="851"/>
          <w:tab w:val="left" w:pos="1134"/>
          <w:tab w:val="left" w:pos="1276"/>
        </w:tabs>
        <w:spacing w:after="160" w:line="256" w:lineRule="auto"/>
        <w:ind w:left="0" w:firstLine="709"/>
        <w:contextualSpacing/>
        <w:jc w:val="both"/>
        <w:rPr>
          <w:rFonts w:eastAsia="Calibri"/>
        </w:rPr>
      </w:pPr>
      <w:r w:rsidRPr="00EE714E">
        <w:rPr>
          <w:rFonts w:eastAsia="Calibri"/>
        </w:rPr>
        <w:t xml:space="preserve"> сметные прямые затраты (сметная стоимость материалов, изделий, конструкций и оборудования, средства на оплату труда рабочих, средства на оплату труда машинистов, стоимость эксплуатации машин и механизмов); </w:t>
      </w:r>
    </w:p>
    <w:p w:rsidR="00BD56F0" w:rsidRPr="00EE714E" w:rsidRDefault="00BD56F0" w:rsidP="00BD56F0">
      <w:pPr>
        <w:numPr>
          <w:ilvl w:val="0"/>
          <w:numId w:val="2"/>
        </w:numPr>
        <w:tabs>
          <w:tab w:val="left" w:pos="851"/>
          <w:tab w:val="left" w:pos="1134"/>
          <w:tab w:val="left" w:pos="1276"/>
        </w:tabs>
        <w:spacing w:after="160" w:line="256" w:lineRule="auto"/>
        <w:ind w:left="0" w:firstLine="709"/>
        <w:contextualSpacing/>
        <w:jc w:val="both"/>
        <w:rPr>
          <w:rFonts w:eastAsia="Calibri"/>
        </w:rPr>
      </w:pPr>
      <w:r w:rsidRPr="00EE714E">
        <w:rPr>
          <w:rFonts w:eastAsia="Calibri"/>
        </w:rPr>
        <w:t xml:space="preserve"> накладные расходы;</w:t>
      </w:r>
    </w:p>
    <w:p w:rsidR="00BD56F0" w:rsidRPr="00EE714E" w:rsidRDefault="00BD56F0" w:rsidP="00BD56F0">
      <w:pPr>
        <w:numPr>
          <w:ilvl w:val="0"/>
          <w:numId w:val="2"/>
        </w:numPr>
        <w:tabs>
          <w:tab w:val="left" w:pos="851"/>
          <w:tab w:val="left" w:pos="1134"/>
          <w:tab w:val="left" w:pos="1276"/>
        </w:tabs>
        <w:spacing w:after="160" w:line="256" w:lineRule="auto"/>
        <w:ind w:left="0" w:firstLine="709"/>
        <w:contextualSpacing/>
        <w:jc w:val="both"/>
        <w:rPr>
          <w:rFonts w:eastAsia="Calibri"/>
        </w:rPr>
      </w:pPr>
      <w:r w:rsidRPr="00EE714E">
        <w:rPr>
          <w:rFonts w:eastAsia="Calibri"/>
        </w:rPr>
        <w:t xml:space="preserve"> сметную прибыль;</w:t>
      </w:r>
    </w:p>
    <w:p w:rsidR="00BD56F0" w:rsidRPr="00EE714E" w:rsidRDefault="00BD56F0" w:rsidP="00BD56F0">
      <w:pPr>
        <w:numPr>
          <w:ilvl w:val="0"/>
          <w:numId w:val="2"/>
        </w:numPr>
        <w:tabs>
          <w:tab w:val="left" w:pos="851"/>
          <w:tab w:val="left" w:pos="1134"/>
        </w:tabs>
        <w:spacing w:after="160" w:line="256" w:lineRule="auto"/>
        <w:ind w:left="0" w:firstLine="709"/>
        <w:contextualSpacing/>
        <w:jc w:val="both"/>
        <w:rPr>
          <w:rFonts w:eastAsia="Calibri"/>
        </w:rPr>
      </w:pPr>
      <w:r w:rsidRPr="00EE714E">
        <w:rPr>
          <w:rFonts w:eastAsia="Calibri"/>
        </w:rPr>
        <w:t xml:space="preserve"> отдельные виды затрат, относимые на стоимость СМР.</w:t>
      </w:r>
    </w:p>
    <w:p w:rsidR="00BD56F0" w:rsidRPr="00EE714E" w:rsidRDefault="00BD56F0" w:rsidP="00BD56F0">
      <w:pPr>
        <w:numPr>
          <w:ilvl w:val="1"/>
          <w:numId w:val="1"/>
        </w:numPr>
        <w:tabs>
          <w:tab w:val="left" w:pos="851"/>
          <w:tab w:val="left" w:pos="1418"/>
        </w:tabs>
        <w:spacing w:line="276" w:lineRule="auto"/>
        <w:ind w:left="0" w:firstLine="851"/>
        <w:jc w:val="both"/>
      </w:pPr>
      <w:r w:rsidRPr="00EE714E">
        <w:t>Сметные нормы разработаны на основе принципа усреднения с определением нормативного количества строительных ресурсов, необходимого и достаточного для выполнения соответствующего вида строительных, специальных строительных, ремонтно-строительных, монтажных работ.</w:t>
      </w:r>
    </w:p>
    <w:p w:rsidR="00BD56F0" w:rsidRPr="00EE714E" w:rsidRDefault="00BD56F0" w:rsidP="00BD56F0">
      <w:pPr>
        <w:numPr>
          <w:ilvl w:val="1"/>
          <w:numId w:val="1"/>
        </w:numPr>
        <w:tabs>
          <w:tab w:val="left" w:pos="851"/>
          <w:tab w:val="left" w:pos="1418"/>
        </w:tabs>
        <w:spacing w:line="276" w:lineRule="auto"/>
        <w:ind w:left="0" w:firstLine="851"/>
        <w:jc w:val="both"/>
      </w:pPr>
      <w:r w:rsidRPr="00EE714E">
        <w:t>Выбор сметных норм и составляющих сметных норм для определения СМР и ПНР осуществляется исходя из соответствия технологии производства работ, принятой в проектной и (или) иной технической документации, состава работ, перечня, характеристик и расхода строительных ресурсов, учтенных сметными нормами.</w:t>
      </w:r>
    </w:p>
    <w:p w:rsidR="00BD56F0" w:rsidRPr="00EE714E" w:rsidRDefault="00BD56F0" w:rsidP="00BD56F0">
      <w:pPr>
        <w:numPr>
          <w:ilvl w:val="1"/>
          <w:numId w:val="1"/>
        </w:numPr>
        <w:tabs>
          <w:tab w:val="left" w:pos="851"/>
          <w:tab w:val="left" w:pos="1418"/>
        </w:tabs>
        <w:spacing w:line="276" w:lineRule="auto"/>
        <w:ind w:left="0" w:firstLine="851"/>
        <w:jc w:val="both"/>
      </w:pPr>
      <w:r w:rsidRPr="00EE714E">
        <w:t>Внесение изменений в сметные нормы не допускается, в том числе в случаях, когда проектной и (или) иной технической документацией предусмотрено:</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использование строительных машин и механизмов, не учтенных в сметных нормах, но при этом принципиально не меняются технологические и организационные схемы производства работ;</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использование в соответствии с ПОС машин и механизмов, технические характеристики которых отличаются от учтенных сметными нормами, но при этом принципиально не меняются технологические и организационные схемы производства работ;</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выполнение работ вручную и (или) с использованием средств малой механизации. При этом сметными нормами, учтено применение машин и механизмов или иных технических средств;</w:t>
      </w:r>
    </w:p>
    <w:p w:rsidR="00BD56F0" w:rsidRPr="00EE714E" w:rsidRDefault="00BD56F0" w:rsidP="00BD56F0">
      <w:pPr>
        <w:numPr>
          <w:ilvl w:val="0"/>
          <w:numId w:val="2"/>
        </w:numPr>
        <w:tabs>
          <w:tab w:val="num" w:pos="142"/>
          <w:tab w:val="left" w:pos="1134"/>
        </w:tabs>
        <w:spacing w:line="276" w:lineRule="auto"/>
        <w:ind w:left="0" w:firstLine="851"/>
        <w:jc w:val="both"/>
      </w:pPr>
      <w:r w:rsidRPr="00EE714E">
        <w:t>применение МТР, характеристики которых отличаются от учтенных сметными нормами, и их применение не меняет технологические и организационные схемы производства работ, не снижает эксплуатационные характеристики конструктивных решений, принятые в проектной и (или) иной технической документации.</w:t>
      </w:r>
    </w:p>
    <w:p w:rsidR="00BD56F0" w:rsidRPr="00EE714E" w:rsidRDefault="00BD56F0" w:rsidP="00BD56F0">
      <w:pPr>
        <w:numPr>
          <w:ilvl w:val="1"/>
          <w:numId w:val="1"/>
        </w:numPr>
        <w:tabs>
          <w:tab w:val="left" w:pos="851"/>
          <w:tab w:val="left" w:pos="1418"/>
        </w:tabs>
        <w:spacing w:line="276" w:lineRule="auto"/>
        <w:ind w:left="0" w:firstLine="851"/>
        <w:jc w:val="both"/>
      </w:pPr>
      <w:r w:rsidRPr="00EE714E">
        <w:t>Положения о применении сметных норм одного сборника, отдела, раздела или подраздела, а также коэффициенты, приведенные в технической части, не применяются к сметным нормам других сборников, отделов, разделов и подразделов.</w:t>
      </w:r>
    </w:p>
    <w:p w:rsidR="00BD56F0" w:rsidRPr="00EE714E" w:rsidRDefault="00BD56F0" w:rsidP="00BD56F0">
      <w:pPr>
        <w:numPr>
          <w:ilvl w:val="1"/>
          <w:numId w:val="1"/>
        </w:numPr>
        <w:tabs>
          <w:tab w:val="left" w:pos="851"/>
          <w:tab w:val="left" w:pos="1418"/>
        </w:tabs>
        <w:spacing w:line="276" w:lineRule="auto"/>
        <w:ind w:left="0" w:firstLine="851"/>
        <w:jc w:val="both"/>
      </w:pPr>
      <w:r w:rsidRPr="00EE714E">
        <w:lastRenderedPageBreak/>
        <w:t>При применении сметных норм учитывается, что параметры отдельных характеристик видов работ, МТР (масса, длина, емкость, диаметр и др.), приведенные со словом "до", понимается включительно, со словом "от" - исключая указанную величину, т.е. свыше.</w:t>
      </w:r>
    </w:p>
    <w:p w:rsidR="00BD56F0" w:rsidRPr="00EE714E" w:rsidRDefault="00BD56F0" w:rsidP="00BD56F0">
      <w:pPr>
        <w:numPr>
          <w:ilvl w:val="1"/>
          <w:numId w:val="1"/>
        </w:numPr>
        <w:tabs>
          <w:tab w:val="left" w:pos="851"/>
          <w:tab w:val="left" w:pos="1418"/>
        </w:tabs>
        <w:spacing w:line="276" w:lineRule="auto"/>
        <w:ind w:left="0" w:firstLine="851"/>
        <w:jc w:val="both"/>
      </w:pPr>
      <w:r w:rsidRPr="00EE714E">
        <w:t>Корректировка сметных норм в сметной документации допускается в части замены подъемного крана в случаях, когда проектной и (или) иной технической документацией обосновано применение подъемного крана, технические характеристики которого отличаются от учтенных сметными нормами в связи с отличием технологических и организационных схем производства работ, принятых при реконструкции, техническом перевооружении по сравнению с учтенными при разработке сметных норм, если это предусмотрено положениями разделов соответствующих сборников сметных норм.</w:t>
      </w:r>
    </w:p>
    <w:p w:rsidR="00BD56F0" w:rsidRPr="00EE714E" w:rsidRDefault="00BD56F0" w:rsidP="00BD56F0">
      <w:pPr>
        <w:numPr>
          <w:ilvl w:val="1"/>
          <w:numId w:val="1"/>
        </w:numPr>
        <w:tabs>
          <w:tab w:val="left" w:pos="851"/>
          <w:tab w:val="left" w:pos="1418"/>
        </w:tabs>
        <w:spacing w:line="276" w:lineRule="auto"/>
        <w:ind w:left="0" w:firstLine="851"/>
        <w:jc w:val="both"/>
      </w:pPr>
      <w:r w:rsidRPr="00EE714E">
        <w:t>В сметных нормах, включенных в сборники на строительные и специальные строительные работы, не учтены затраты на работу отдельных строительных машин и механизмов (проходческие щиты, тюбинго- и блокоукладчики и т.п.). Способ определения затрат на эксплуатацию не учтенных нормами механизмов изложен в Общих положениях соответствующих сборников сметных норм на строительные и специальные строительные работы.</w:t>
      </w:r>
    </w:p>
    <w:p w:rsidR="00BD56F0" w:rsidRPr="00EE714E" w:rsidRDefault="00BD56F0" w:rsidP="00BD56F0">
      <w:pPr>
        <w:numPr>
          <w:ilvl w:val="1"/>
          <w:numId w:val="1"/>
        </w:numPr>
        <w:tabs>
          <w:tab w:val="left" w:pos="851"/>
          <w:tab w:val="left" w:pos="1418"/>
        </w:tabs>
        <w:spacing w:line="276" w:lineRule="auto"/>
        <w:ind w:left="0" w:firstLine="851"/>
        <w:jc w:val="both"/>
        <w:rPr>
          <w:strike/>
        </w:rPr>
      </w:pPr>
      <w:r w:rsidRPr="00EE714E">
        <w:t>Перечень машин и механизмов, в сметных ценах которых не учтены затраты на перебазировку и учитываемых в сметах отдельной строкой, а также порядок определения затрат на перебазировку приведены в Методических рекомендациях по определению сметных цен на эксплуатацию машин и механизмов, утвержденных приказом Минстроя России от 13.12.2021 г. № 916/пр.</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По некоторым материалам, изделиям и конструкциям для строительных, специальных строительных и ремонтно-строительных работ, расход которых зависит от проектных решений, в таблицах сметных норм указываются только наименование материалов, а вместо нормативного показателя расхода соответствующего ресурса приводится литера "П". Расход таких материальных ресурсов при составлении сметной документации определяется по проектным данным и (или) данным иной технической документации с учетом трудноустранимых потерь и отходов, связанных с перемещением материалов от приобъектного склада до рабочей зоны (зоны монтажа) и их обработкой при производстве соответствующих видов работ.</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Перечень оборудования и материальных ресурсов с нормами отходов, которые не учтены в сметных нормах на монтаж оборудования, приведены в Общих положениях и Приложениях сборников на монтаж оборудования.</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Сметными нормами учтены затраты электрической и тепловой энергии, сжатого воздуха и воды от постоянных источников снабжения. При получении указанных ресурсов от передвижных источников снабжения разница в их стоимости учитывается непосредственно в локальных сметных расчетах (сметах), включая затраты на сушку зданий, а также на отопление зданий в зимний период электрокалориферами при получении электроэнергии от передвижных электростанций.</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Затраты на электроэнергию, потребляемую ручным инструментом, относятся к сметной стоимости материальных ресурсов, учитываются в локальных сметных расчетах дополнительно в случаях и размерах, указанных в Общих положениях" и Приложениях сметных норм.</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lastRenderedPageBreak/>
        <w:t>Сметными нормами учтены затраты на горизонтальное и вертикальное перемещение МТР от приобъектного склада до места производства работ на расстояния, приведенные в Общих положениях соответствующих сборников.</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В случае, когда проектом предусмотрено перемещение МТР на расстояние, превышающее учтенное сметными нормами, затраты на перемещение определяются по сметным нормам сборника ГЭСНм 81-03-40-... "Дополнительное перемещение оборудования и материальных ресурсов сверх предусмотренного в сборниках сметных норм на монтаж оборудования".</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В случае, если проектной и (или) иной технической документацией предусмотрено приготовление (изготовление) отдельных материальных ресурсов (бетон, раствор, битум, асфальтобетонные и черные щебеночные смеси, битумные эмульсии, металлические конструкции и другие) в построечных условиях или условиях производственных баз, указанные затраты определяются в локальных сметных расчетах (сметах) по соответствующим сметным нормам, сведения о которых включены в ФРСН.</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Сметными нормами не учтены затраты на работы, связанные с подвозкой деталей наружных и внутренних лесов до приобъектного склада. Указанные затраты учитываются непосредственно в сметных расчетах (сметах) в соответствии с методическими документами.</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Сметная стоимость работ по монтажу оборудования, отсутствующего в действующих сборниках ГЭСНм, определяется по сметным нормам ближайшего по массе оборудования при условии, что масса монтируемого оборудования (с учетом массы электродвигателей и приводов) не превышает 10% массы оборудования, при разнице в массе более чем на 10% - применением к сметным нормам ближайшего по массе оборудования коэффициентов, приведенных в Таблице 1 Методических рекомендаций 571/пр.</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Если в технической характеристике оборудования масса приведена со словом "до", корректировка сметных норм по массе допускается только сверх последнего значения массы, а если "от" и "до" – за рамками крайних пределов.</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Корректировка сметных норм по массе не производится по электрическим установкам, оборудованию связи, приборам, средствам автоматизации и вычислительной техники, по оборудованию, по которому сметные нормы в сборнике имеют измеритель "т", а также в случае, если в наименовании сметной номы приведена масса оборудования.</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В тех случаях, когда в технических характеристиках оборудования не указан материал, из которого оно изготовлено, в сметных нормах ГЭСНм принято, что оборудование изготовлено из углеродистой стали или серого чугуна.</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 xml:space="preserve">Сметная стоимость демонтажных работ определяется по сметным нормам сборников на строительные, специальные строительные, монтаж оборудования и ремонтно-строительные работы в порядке следующей приоритетности: </w:t>
      </w:r>
    </w:p>
    <w:p w:rsidR="00BD56F0" w:rsidRPr="00EE714E" w:rsidRDefault="00BD56F0" w:rsidP="00BD56F0">
      <w:pPr>
        <w:numPr>
          <w:ilvl w:val="0"/>
          <w:numId w:val="2"/>
        </w:numPr>
        <w:tabs>
          <w:tab w:val="num" w:pos="142"/>
          <w:tab w:val="left" w:pos="1134"/>
        </w:tabs>
        <w:spacing w:line="276" w:lineRule="auto"/>
        <w:ind w:left="0" w:firstLine="851"/>
        <w:jc w:val="both"/>
      </w:pPr>
      <w:r w:rsidRPr="00EE714E">
        <w:t>сборник ГЭСН 81-02-46-... "Работы при реконструкции зданий и сооружений";</w:t>
      </w:r>
    </w:p>
    <w:p w:rsidR="00BD56F0" w:rsidRPr="00EE714E" w:rsidRDefault="00BD56F0" w:rsidP="00BD56F0">
      <w:pPr>
        <w:numPr>
          <w:ilvl w:val="0"/>
          <w:numId w:val="2"/>
        </w:numPr>
        <w:tabs>
          <w:tab w:val="num" w:pos="142"/>
          <w:tab w:val="left" w:pos="1134"/>
        </w:tabs>
        <w:spacing w:line="276" w:lineRule="auto"/>
        <w:ind w:left="0" w:firstLine="851"/>
        <w:jc w:val="both"/>
      </w:pPr>
      <w:r w:rsidRPr="00EE714E">
        <w:t>сборники ГЭСНр на ремонтно-строительные работы;</w:t>
      </w:r>
    </w:p>
    <w:p w:rsidR="00BD56F0" w:rsidRPr="00EE714E" w:rsidRDefault="00BD56F0" w:rsidP="00BD56F0">
      <w:pPr>
        <w:numPr>
          <w:ilvl w:val="0"/>
          <w:numId w:val="2"/>
        </w:numPr>
        <w:tabs>
          <w:tab w:val="num" w:pos="142"/>
          <w:tab w:val="left" w:pos="1134"/>
        </w:tabs>
        <w:spacing w:line="276" w:lineRule="auto"/>
        <w:ind w:left="0" w:firstLine="851"/>
        <w:jc w:val="both"/>
      </w:pPr>
      <w:r w:rsidRPr="00EE714E">
        <w:t>сборники ГЭСН на строительные и монтажные работы с применением понижающих коэффициентов на демонтаж, указанных в таблицах 1 и 2 настоящих рекомендаций.</w:t>
      </w: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 xml:space="preserve">При отсутствии сметных норм на работы по демонтажу зданий, сооружений, строительных конструкций, элементов систем и сетей инженерно-технического </w:t>
      </w:r>
      <w:r w:rsidRPr="00EE714E">
        <w:lastRenderedPageBreak/>
        <w:t>обеспечения в сборниках сметных норм на строительные, специальные строительные и ремонтно-строительные работы при определении сметной стоимости применяются сметные нормы на строительные и специальные строительные работы на устройство, установку строительных конструкций, элементов систем и сетей инженерно-технического обеспечения с применением следующих коэффициентов:</w:t>
      </w:r>
    </w:p>
    <w:p w:rsidR="00BD56F0" w:rsidRPr="00EE714E" w:rsidRDefault="00BD56F0" w:rsidP="00BD56F0">
      <w:pPr>
        <w:tabs>
          <w:tab w:val="left" w:pos="1560"/>
        </w:tabs>
        <w:ind w:firstLine="851"/>
        <w:contextualSpacing/>
        <w:jc w:val="right"/>
      </w:pPr>
      <w:r w:rsidRPr="00EE714E">
        <w:t>Таблица 1</w:t>
      </w:r>
    </w:p>
    <w:tbl>
      <w:tblPr>
        <w:tblStyle w:val="5"/>
        <w:tblW w:w="9808" w:type="dxa"/>
        <w:jc w:val="right"/>
        <w:tblLook w:val="04A0" w:firstRow="1" w:lastRow="0" w:firstColumn="1" w:lastColumn="0" w:noHBand="0" w:noVBand="1"/>
      </w:tblPr>
      <w:tblGrid>
        <w:gridCol w:w="671"/>
        <w:gridCol w:w="6634"/>
        <w:gridCol w:w="2503"/>
      </w:tblGrid>
      <w:tr w:rsidR="00BD56F0" w:rsidRPr="004E169D" w:rsidTr="002B7C2A">
        <w:trPr>
          <w:trHeight w:val="990"/>
          <w:jc w:val="right"/>
        </w:trPr>
        <w:tc>
          <w:tcPr>
            <w:tcW w:w="671" w:type="dxa"/>
            <w:vAlign w:val="center"/>
            <w:hideMark/>
          </w:tcPr>
          <w:p w:rsidR="00BD56F0" w:rsidRPr="00EE714E" w:rsidRDefault="00BD56F0" w:rsidP="002B7C2A">
            <w:pPr>
              <w:tabs>
                <w:tab w:val="left" w:pos="1560"/>
              </w:tabs>
              <w:contextualSpacing/>
              <w:jc w:val="center"/>
              <w:rPr>
                <w:lang w:eastAsia="en-US"/>
              </w:rPr>
            </w:pPr>
            <w:r w:rsidRPr="00EE714E">
              <w:rPr>
                <w:lang w:eastAsia="en-US"/>
              </w:rPr>
              <w:t>№ п/п.</w:t>
            </w:r>
          </w:p>
        </w:tc>
        <w:tc>
          <w:tcPr>
            <w:tcW w:w="6634" w:type="dxa"/>
            <w:vAlign w:val="center"/>
            <w:hideMark/>
          </w:tcPr>
          <w:p w:rsidR="00BD56F0" w:rsidRPr="00EE714E" w:rsidRDefault="00BD56F0" w:rsidP="002B7C2A">
            <w:pPr>
              <w:tabs>
                <w:tab w:val="left" w:pos="1560"/>
              </w:tabs>
              <w:contextualSpacing/>
              <w:jc w:val="center"/>
              <w:rPr>
                <w:lang w:eastAsia="en-US"/>
              </w:rPr>
            </w:pPr>
            <w:r w:rsidRPr="00EE714E">
              <w:rPr>
                <w:lang w:eastAsia="en-US"/>
              </w:rPr>
              <w:t>Вид демонтируемых (разбираемых) строительных конструкций, элементов систем и сетей инженерно-технического обеспечения</w:t>
            </w:r>
          </w:p>
        </w:tc>
        <w:tc>
          <w:tcPr>
            <w:tcW w:w="2503" w:type="dxa"/>
            <w:vAlign w:val="center"/>
            <w:hideMark/>
          </w:tcPr>
          <w:p w:rsidR="00BD56F0" w:rsidRPr="00EE714E" w:rsidRDefault="00BD56F0" w:rsidP="002B7C2A">
            <w:pPr>
              <w:tabs>
                <w:tab w:val="left" w:pos="1560"/>
              </w:tabs>
              <w:ind w:firstLine="443"/>
              <w:contextualSpacing/>
              <w:rPr>
                <w:lang w:eastAsia="en-US"/>
              </w:rPr>
            </w:pPr>
            <w:r w:rsidRPr="00EE714E">
              <w:rPr>
                <w:lang w:eastAsia="en-US"/>
              </w:rPr>
              <w:t>Коэффициенты</w:t>
            </w:r>
          </w:p>
        </w:tc>
      </w:tr>
      <w:tr w:rsidR="00BD56F0" w:rsidRPr="004E169D" w:rsidTr="002B7C2A">
        <w:trPr>
          <w:trHeight w:val="864"/>
          <w:jc w:val="right"/>
        </w:trPr>
        <w:tc>
          <w:tcPr>
            <w:tcW w:w="671" w:type="dxa"/>
            <w:vAlign w:val="center"/>
            <w:hideMark/>
          </w:tcPr>
          <w:p w:rsidR="00BD56F0" w:rsidRPr="00EE714E" w:rsidRDefault="00BD56F0" w:rsidP="002B7C2A">
            <w:pPr>
              <w:tabs>
                <w:tab w:val="left" w:pos="1560"/>
              </w:tabs>
              <w:spacing w:line="276" w:lineRule="auto"/>
              <w:jc w:val="center"/>
            </w:pPr>
            <w:r w:rsidRPr="00EE714E">
              <w:t>1</w:t>
            </w:r>
          </w:p>
        </w:tc>
        <w:tc>
          <w:tcPr>
            <w:tcW w:w="6634" w:type="dxa"/>
            <w:vAlign w:val="center"/>
            <w:hideMark/>
          </w:tcPr>
          <w:p w:rsidR="00BD56F0" w:rsidRPr="00EE714E" w:rsidRDefault="00BD56F0" w:rsidP="002B7C2A">
            <w:pPr>
              <w:tabs>
                <w:tab w:val="left" w:pos="1560"/>
              </w:tabs>
              <w:contextualSpacing/>
              <w:jc w:val="both"/>
              <w:rPr>
                <w:lang w:eastAsia="en-US"/>
              </w:rPr>
            </w:pPr>
            <w:r w:rsidRPr="00EE714E">
              <w:rPr>
                <w:lang w:eastAsia="en-US"/>
              </w:rPr>
              <w:t>Сборные бетонные и железобетонные строительные конструкции</w:t>
            </w:r>
          </w:p>
        </w:tc>
        <w:tc>
          <w:tcPr>
            <w:tcW w:w="2503" w:type="dxa"/>
            <w:vAlign w:val="center"/>
            <w:hideMark/>
          </w:tcPr>
          <w:p w:rsidR="00BD56F0" w:rsidRPr="00EE714E" w:rsidRDefault="00BD56F0" w:rsidP="002B7C2A">
            <w:pPr>
              <w:tabs>
                <w:tab w:val="left" w:pos="1560"/>
              </w:tabs>
              <w:spacing w:line="276" w:lineRule="auto"/>
              <w:jc w:val="center"/>
            </w:pPr>
            <w:r w:rsidRPr="00EE714E">
              <w:t>0,8</w:t>
            </w:r>
          </w:p>
        </w:tc>
      </w:tr>
      <w:tr w:rsidR="00BD56F0" w:rsidRPr="004E169D" w:rsidTr="002B7C2A">
        <w:trPr>
          <w:trHeight w:val="330"/>
          <w:jc w:val="right"/>
        </w:trPr>
        <w:tc>
          <w:tcPr>
            <w:tcW w:w="671" w:type="dxa"/>
            <w:vAlign w:val="center"/>
            <w:hideMark/>
          </w:tcPr>
          <w:p w:rsidR="00BD56F0" w:rsidRPr="00EE714E" w:rsidRDefault="00BD56F0" w:rsidP="002B7C2A">
            <w:pPr>
              <w:tabs>
                <w:tab w:val="left" w:pos="1560"/>
              </w:tabs>
              <w:spacing w:line="276" w:lineRule="auto"/>
              <w:jc w:val="center"/>
            </w:pPr>
            <w:r w:rsidRPr="00EE714E">
              <w:t>2</w:t>
            </w:r>
          </w:p>
        </w:tc>
        <w:tc>
          <w:tcPr>
            <w:tcW w:w="6634" w:type="dxa"/>
            <w:vAlign w:val="center"/>
            <w:hideMark/>
          </w:tcPr>
          <w:p w:rsidR="00BD56F0" w:rsidRPr="00EE714E" w:rsidRDefault="00BD56F0" w:rsidP="002B7C2A">
            <w:pPr>
              <w:tabs>
                <w:tab w:val="left" w:pos="1560"/>
              </w:tabs>
              <w:spacing w:line="276" w:lineRule="auto"/>
              <w:jc w:val="both"/>
            </w:pPr>
            <w:r w:rsidRPr="00EE714E">
              <w:t>Сборные деревянные конструкции</w:t>
            </w:r>
          </w:p>
        </w:tc>
        <w:tc>
          <w:tcPr>
            <w:tcW w:w="2503" w:type="dxa"/>
            <w:vAlign w:val="center"/>
            <w:hideMark/>
          </w:tcPr>
          <w:p w:rsidR="00BD56F0" w:rsidRPr="00EE714E" w:rsidRDefault="00BD56F0" w:rsidP="002B7C2A">
            <w:pPr>
              <w:tabs>
                <w:tab w:val="left" w:pos="1560"/>
              </w:tabs>
              <w:spacing w:line="276" w:lineRule="auto"/>
              <w:jc w:val="center"/>
            </w:pPr>
            <w:r w:rsidRPr="00EE714E">
              <w:t>0,8</w:t>
            </w:r>
          </w:p>
        </w:tc>
      </w:tr>
      <w:tr w:rsidR="00BD56F0" w:rsidRPr="004E169D" w:rsidTr="002B7C2A">
        <w:trPr>
          <w:trHeight w:val="660"/>
          <w:jc w:val="right"/>
        </w:trPr>
        <w:tc>
          <w:tcPr>
            <w:tcW w:w="671" w:type="dxa"/>
            <w:vAlign w:val="center"/>
            <w:hideMark/>
          </w:tcPr>
          <w:p w:rsidR="00BD56F0" w:rsidRPr="00EE714E" w:rsidRDefault="00BD56F0" w:rsidP="002B7C2A">
            <w:pPr>
              <w:tabs>
                <w:tab w:val="left" w:pos="1560"/>
              </w:tabs>
              <w:spacing w:line="276" w:lineRule="auto"/>
              <w:jc w:val="center"/>
            </w:pPr>
            <w:r w:rsidRPr="00EE714E">
              <w:t>3</w:t>
            </w:r>
          </w:p>
        </w:tc>
        <w:tc>
          <w:tcPr>
            <w:tcW w:w="6634" w:type="dxa"/>
            <w:vAlign w:val="center"/>
            <w:hideMark/>
          </w:tcPr>
          <w:p w:rsidR="00BD56F0" w:rsidRPr="00EE714E" w:rsidRDefault="00BD56F0" w:rsidP="002B7C2A">
            <w:pPr>
              <w:tabs>
                <w:tab w:val="left" w:pos="1560"/>
              </w:tabs>
              <w:spacing w:line="276" w:lineRule="auto"/>
              <w:jc w:val="both"/>
            </w:pPr>
            <w:r w:rsidRPr="00EE714E">
              <w:t>Системы инженерно-технического обеспечения, тепловая изоляция</w:t>
            </w:r>
          </w:p>
        </w:tc>
        <w:tc>
          <w:tcPr>
            <w:tcW w:w="2503" w:type="dxa"/>
            <w:vAlign w:val="center"/>
            <w:hideMark/>
          </w:tcPr>
          <w:p w:rsidR="00BD56F0" w:rsidRPr="00EE714E" w:rsidRDefault="00BD56F0" w:rsidP="002B7C2A">
            <w:pPr>
              <w:tabs>
                <w:tab w:val="left" w:pos="1560"/>
              </w:tabs>
              <w:spacing w:line="276" w:lineRule="auto"/>
              <w:jc w:val="center"/>
            </w:pPr>
            <w:r w:rsidRPr="00EE714E">
              <w:t>0,4</w:t>
            </w:r>
          </w:p>
        </w:tc>
      </w:tr>
      <w:tr w:rsidR="00BD56F0" w:rsidRPr="004E169D" w:rsidTr="002B7C2A">
        <w:trPr>
          <w:trHeight w:val="330"/>
          <w:jc w:val="right"/>
        </w:trPr>
        <w:tc>
          <w:tcPr>
            <w:tcW w:w="671" w:type="dxa"/>
            <w:vAlign w:val="center"/>
            <w:hideMark/>
          </w:tcPr>
          <w:p w:rsidR="00BD56F0" w:rsidRPr="00EE714E" w:rsidRDefault="00BD56F0" w:rsidP="002B7C2A">
            <w:pPr>
              <w:tabs>
                <w:tab w:val="left" w:pos="1560"/>
              </w:tabs>
              <w:spacing w:line="276" w:lineRule="auto"/>
              <w:jc w:val="center"/>
            </w:pPr>
            <w:r w:rsidRPr="00EE714E">
              <w:t>4</w:t>
            </w:r>
          </w:p>
        </w:tc>
        <w:tc>
          <w:tcPr>
            <w:tcW w:w="6634" w:type="dxa"/>
            <w:vAlign w:val="center"/>
            <w:hideMark/>
          </w:tcPr>
          <w:p w:rsidR="00BD56F0" w:rsidRPr="00EE714E" w:rsidRDefault="00BD56F0" w:rsidP="002B7C2A">
            <w:pPr>
              <w:tabs>
                <w:tab w:val="left" w:pos="1560"/>
              </w:tabs>
              <w:spacing w:line="276" w:lineRule="auto"/>
              <w:jc w:val="both"/>
            </w:pPr>
            <w:r w:rsidRPr="00EE714E">
              <w:t>Металлические конструкции</w:t>
            </w:r>
          </w:p>
        </w:tc>
        <w:tc>
          <w:tcPr>
            <w:tcW w:w="2503" w:type="dxa"/>
            <w:vAlign w:val="center"/>
            <w:hideMark/>
          </w:tcPr>
          <w:p w:rsidR="00BD56F0" w:rsidRPr="00EE714E" w:rsidRDefault="00BD56F0" w:rsidP="002B7C2A">
            <w:pPr>
              <w:tabs>
                <w:tab w:val="left" w:pos="1560"/>
              </w:tabs>
              <w:spacing w:line="276" w:lineRule="auto"/>
              <w:jc w:val="center"/>
            </w:pPr>
            <w:r w:rsidRPr="00EE714E">
              <w:t>0,7</w:t>
            </w:r>
          </w:p>
        </w:tc>
      </w:tr>
      <w:tr w:rsidR="00BD56F0" w:rsidRPr="004E169D" w:rsidTr="002B7C2A">
        <w:trPr>
          <w:trHeight w:val="330"/>
          <w:jc w:val="right"/>
        </w:trPr>
        <w:tc>
          <w:tcPr>
            <w:tcW w:w="671" w:type="dxa"/>
            <w:vAlign w:val="center"/>
            <w:hideMark/>
          </w:tcPr>
          <w:p w:rsidR="00BD56F0" w:rsidRPr="00EE714E" w:rsidRDefault="00BD56F0" w:rsidP="002B7C2A">
            <w:pPr>
              <w:tabs>
                <w:tab w:val="left" w:pos="1560"/>
              </w:tabs>
              <w:spacing w:line="276" w:lineRule="auto"/>
              <w:jc w:val="center"/>
            </w:pPr>
            <w:r w:rsidRPr="00EE714E">
              <w:t>5</w:t>
            </w:r>
          </w:p>
        </w:tc>
        <w:tc>
          <w:tcPr>
            <w:tcW w:w="6634" w:type="dxa"/>
            <w:vAlign w:val="center"/>
            <w:hideMark/>
          </w:tcPr>
          <w:p w:rsidR="00BD56F0" w:rsidRPr="00EE714E" w:rsidRDefault="00BD56F0" w:rsidP="002B7C2A">
            <w:pPr>
              <w:tabs>
                <w:tab w:val="left" w:pos="1560"/>
              </w:tabs>
              <w:spacing w:line="276" w:lineRule="auto"/>
              <w:jc w:val="both"/>
            </w:pPr>
            <w:r w:rsidRPr="00EE714E">
              <w:t>Сети инженерно-технического обеспечения</w:t>
            </w:r>
          </w:p>
        </w:tc>
        <w:tc>
          <w:tcPr>
            <w:tcW w:w="2503" w:type="dxa"/>
            <w:vAlign w:val="center"/>
            <w:hideMark/>
          </w:tcPr>
          <w:p w:rsidR="00BD56F0" w:rsidRPr="00EE714E" w:rsidRDefault="00BD56F0" w:rsidP="002B7C2A">
            <w:pPr>
              <w:tabs>
                <w:tab w:val="left" w:pos="1560"/>
              </w:tabs>
              <w:spacing w:line="276" w:lineRule="auto"/>
              <w:jc w:val="center"/>
            </w:pPr>
            <w:r w:rsidRPr="00EE714E">
              <w:t>0,6</w:t>
            </w:r>
          </w:p>
        </w:tc>
      </w:tr>
    </w:tbl>
    <w:p w:rsidR="00BD56F0" w:rsidRPr="00EE714E" w:rsidRDefault="00BD56F0" w:rsidP="00BD56F0">
      <w:pPr>
        <w:tabs>
          <w:tab w:val="left" w:pos="1560"/>
        </w:tabs>
        <w:ind w:firstLine="851"/>
        <w:contextualSpacing/>
        <w:jc w:val="both"/>
      </w:pPr>
    </w:p>
    <w:p w:rsidR="00BD56F0" w:rsidRPr="00EE714E" w:rsidRDefault="00BD56F0" w:rsidP="00BD56F0">
      <w:pPr>
        <w:numPr>
          <w:ilvl w:val="1"/>
          <w:numId w:val="1"/>
        </w:numPr>
        <w:tabs>
          <w:tab w:val="left" w:pos="851"/>
          <w:tab w:val="left" w:pos="1418"/>
        </w:tabs>
        <w:spacing w:line="276" w:lineRule="auto"/>
        <w:ind w:left="0" w:firstLine="851"/>
        <w:contextualSpacing/>
        <w:jc w:val="both"/>
      </w:pPr>
      <w:r w:rsidRPr="00EE714E">
        <w:t>При отсутствии сметных норм на работы по демонтажу оборудования применяются сметные нормы на монтаж оборудования, включенные в сборники сметных норм на монтаж оборудования, с применением следующих коэффициентов:</w:t>
      </w:r>
    </w:p>
    <w:p w:rsidR="00BD56F0" w:rsidRPr="00EE714E" w:rsidRDefault="00BD56F0" w:rsidP="00BD56F0">
      <w:pPr>
        <w:tabs>
          <w:tab w:val="left" w:pos="851"/>
        </w:tabs>
        <w:ind w:left="142"/>
        <w:contextualSpacing/>
        <w:jc w:val="both"/>
      </w:pPr>
    </w:p>
    <w:p w:rsidR="00BD56F0" w:rsidRPr="00EE714E" w:rsidRDefault="00BD56F0" w:rsidP="00BD56F0">
      <w:pPr>
        <w:tabs>
          <w:tab w:val="left" w:pos="1560"/>
        </w:tabs>
        <w:ind w:left="-567" w:firstLine="709"/>
        <w:contextualSpacing/>
        <w:jc w:val="right"/>
      </w:pPr>
      <w:r w:rsidRPr="00EE714E">
        <w:t>Таблица 2</w:t>
      </w:r>
    </w:p>
    <w:tbl>
      <w:tblPr>
        <w:tblStyle w:val="5"/>
        <w:tblW w:w="9924" w:type="dxa"/>
        <w:jc w:val="right"/>
        <w:tblLook w:val="04A0" w:firstRow="1" w:lastRow="0" w:firstColumn="1" w:lastColumn="0" w:noHBand="0" w:noVBand="1"/>
      </w:tblPr>
      <w:tblGrid>
        <w:gridCol w:w="852"/>
        <w:gridCol w:w="7087"/>
        <w:gridCol w:w="1985"/>
      </w:tblGrid>
      <w:tr w:rsidR="00BD56F0" w:rsidRPr="004E169D" w:rsidTr="002B7C2A">
        <w:trPr>
          <w:tblHeader/>
          <w:jc w:val="right"/>
        </w:trPr>
        <w:tc>
          <w:tcPr>
            <w:tcW w:w="852" w:type="dxa"/>
            <w:vAlign w:val="center"/>
            <w:hideMark/>
          </w:tcPr>
          <w:p w:rsidR="00BD56F0" w:rsidRPr="00EE714E" w:rsidRDefault="00BD56F0" w:rsidP="002B7C2A">
            <w:pPr>
              <w:tabs>
                <w:tab w:val="left" w:pos="1560"/>
              </w:tabs>
              <w:ind w:left="-567" w:firstLine="599"/>
              <w:contextualSpacing/>
              <w:rPr>
                <w:lang w:eastAsia="en-US"/>
              </w:rPr>
            </w:pPr>
            <w:r w:rsidRPr="00EE714E">
              <w:rPr>
                <w:lang w:eastAsia="en-US"/>
              </w:rPr>
              <w:t>№п/п</w:t>
            </w:r>
          </w:p>
        </w:tc>
        <w:tc>
          <w:tcPr>
            <w:tcW w:w="7087" w:type="dxa"/>
            <w:vAlign w:val="center"/>
            <w:hideMark/>
          </w:tcPr>
          <w:p w:rsidR="00BD56F0" w:rsidRPr="00EE714E" w:rsidRDefault="00BD56F0" w:rsidP="002B7C2A">
            <w:pPr>
              <w:tabs>
                <w:tab w:val="left" w:pos="1560"/>
              </w:tabs>
              <w:spacing w:line="276" w:lineRule="auto"/>
              <w:ind w:left="-567" w:firstLine="709"/>
              <w:jc w:val="center"/>
            </w:pPr>
            <w:r w:rsidRPr="00EE714E">
              <w:t>Условия демонтажа оборудования</w:t>
            </w:r>
          </w:p>
        </w:tc>
        <w:tc>
          <w:tcPr>
            <w:tcW w:w="1985" w:type="dxa"/>
            <w:vAlign w:val="center"/>
            <w:hideMark/>
          </w:tcPr>
          <w:p w:rsidR="00BD56F0" w:rsidRPr="00EE714E" w:rsidRDefault="00BD56F0" w:rsidP="002B7C2A">
            <w:pPr>
              <w:tabs>
                <w:tab w:val="left" w:pos="1560"/>
              </w:tabs>
              <w:spacing w:line="276" w:lineRule="auto"/>
              <w:ind w:left="-567" w:firstLine="709"/>
              <w:jc w:val="center"/>
            </w:pPr>
            <w:r w:rsidRPr="00EE714E">
              <w:t>Коэффициенты</w:t>
            </w:r>
          </w:p>
        </w:tc>
      </w:tr>
      <w:tr w:rsidR="00BD56F0" w:rsidRPr="004E169D" w:rsidTr="002B7C2A">
        <w:trPr>
          <w:jc w:val="right"/>
        </w:trPr>
        <w:tc>
          <w:tcPr>
            <w:tcW w:w="852" w:type="dxa"/>
            <w:hideMark/>
          </w:tcPr>
          <w:p w:rsidR="00BD56F0" w:rsidRPr="00EE714E" w:rsidRDefault="00BD56F0" w:rsidP="002B7C2A">
            <w:pPr>
              <w:tabs>
                <w:tab w:val="left" w:pos="1560"/>
              </w:tabs>
              <w:spacing w:line="276" w:lineRule="auto"/>
              <w:ind w:left="-567" w:firstLine="709"/>
              <w:jc w:val="center"/>
            </w:pPr>
            <w:r w:rsidRPr="00EE714E">
              <w:t>1</w:t>
            </w:r>
          </w:p>
        </w:tc>
        <w:tc>
          <w:tcPr>
            <w:tcW w:w="7087" w:type="dxa"/>
            <w:hideMark/>
          </w:tcPr>
          <w:p w:rsidR="00BD56F0" w:rsidRPr="00EE714E" w:rsidRDefault="00BD56F0" w:rsidP="002B7C2A">
            <w:pPr>
              <w:tabs>
                <w:tab w:val="left" w:pos="1560"/>
              </w:tabs>
              <w:ind w:left="37" w:hanging="37"/>
              <w:contextualSpacing/>
              <w:jc w:val="both"/>
              <w:rPr>
                <w:lang w:eastAsia="en-US"/>
              </w:rPr>
            </w:pPr>
            <w:r w:rsidRPr="00EE714E">
              <w:rPr>
                <w:lang w:eastAsia="en-US"/>
              </w:rPr>
              <w:t>Оборудование, пригодное для дальнейшего использования, со снятием с места установки, необходимой (частичной) разборкой и консервированием с целью длительного или кратковременного хранения</w:t>
            </w:r>
          </w:p>
        </w:tc>
        <w:tc>
          <w:tcPr>
            <w:tcW w:w="1985" w:type="dxa"/>
            <w:hideMark/>
          </w:tcPr>
          <w:p w:rsidR="00BD56F0" w:rsidRPr="00EE714E" w:rsidRDefault="00BD56F0" w:rsidP="002B7C2A">
            <w:pPr>
              <w:tabs>
                <w:tab w:val="left" w:pos="1560"/>
              </w:tabs>
              <w:ind w:left="-567" w:firstLine="709"/>
              <w:contextualSpacing/>
              <w:jc w:val="center"/>
              <w:rPr>
                <w:lang w:eastAsia="en-US"/>
              </w:rPr>
            </w:pPr>
            <w:r w:rsidRPr="00EE714E">
              <w:rPr>
                <w:lang w:eastAsia="en-US"/>
              </w:rPr>
              <w:t>0,7</w:t>
            </w:r>
          </w:p>
        </w:tc>
      </w:tr>
      <w:tr w:rsidR="00BD56F0" w:rsidRPr="004E169D" w:rsidTr="002B7C2A">
        <w:trPr>
          <w:jc w:val="right"/>
        </w:trPr>
        <w:tc>
          <w:tcPr>
            <w:tcW w:w="852" w:type="dxa"/>
            <w:hideMark/>
          </w:tcPr>
          <w:p w:rsidR="00BD56F0" w:rsidRPr="00EE714E" w:rsidRDefault="00BD56F0" w:rsidP="002B7C2A">
            <w:pPr>
              <w:tabs>
                <w:tab w:val="left" w:pos="1560"/>
              </w:tabs>
              <w:spacing w:line="276" w:lineRule="auto"/>
              <w:ind w:left="-567" w:firstLine="709"/>
              <w:jc w:val="center"/>
            </w:pPr>
            <w:r w:rsidRPr="00EE714E">
              <w:t>2</w:t>
            </w:r>
          </w:p>
        </w:tc>
        <w:tc>
          <w:tcPr>
            <w:tcW w:w="7087" w:type="dxa"/>
            <w:hideMark/>
          </w:tcPr>
          <w:p w:rsidR="00BD56F0" w:rsidRPr="00EE714E" w:rsidRDefault="00BD56F0" w:rsidP="002B7C2A">
            <w:pPr>
              <w:tabs>
                <w:tab w:val="left" w:pos="1560"/>
              </w:tabs>
              <w:ind w:left="37"/>
              <w:contextualSpacing/>
              <w:jc w:val="both"/>
              <w:rPr>
                <w:lang w:eastAsia="en-US"/>
              </w:rPr>
            </w:pPr>
            <w:r w:rsidRPr="00EE714E">
              <w:rPr>
                <w:lang w:eastAsia="en-US"/>
              </w:rPr>
              <w:t>Оборудование, пригодное для дальнейшего использования, со снятием с места установки, необходимой (частичной) разборкой без надобности хранения (перемещается на другое место установки и т.п.)</w:t>
            </w:r>
          </w:p>
        </w:tc>
        <w:tc>
          <w:tcPr>
            <w:tcW w:w="1985" w:type="dxa"/>
            <w:hideMark/>
          </w:tcPr>
          <w:p w:rsidR="00BD56F0" w:rsidRPr="00EE714E" w:rsidRDefault="00BD56F0" w:rsidP="002B7C2A">
            <w:pPr>
              <w:tabs>
                <w:tab w:val="left" w:pos="1560"/>
              </w:tabs>
              <w:ind w:left="-567" w:firstLine="709"/>
              <w:contextualSpacing/>
              <w:jc w:val="center"/>
              <w:rPr>
                <w:lang w:eastAsia="en-US"/>
              </w:rPr>
            </w:pPr>
            <w:r w:rsidRPr="00EE714E">
              <w:rPr>
                <w:lang w:eastAsia="en-US"/>
              </w:rPr>
              <w:t>0,6</w:t>
            </w:r>
          </w:p>
        </w:tc>
      </w:tr>
      <w:tr w:rsidR="00BD56F0" w:rsidRPr="004E169D" w:rsidTr="002B7C2A">
        <w:trPr>
          <w:jc w:val="right"/>
        </w:trPr>
        <w:tc>
          <w:tcPr>
            <w:tcW w:w="852" w:type="dxa"/>
            <w:hideMark/>
          </w:tcPr>
          <w:p w:rsidR="00BD56F0" w:rsidRPr="00EE714E" w:rsidRDefault="00BD56F0" w:rsidP="002B7C2A">
            <w:pPr>
              <w:tabs>
                <w:tab w:val="left" w:pos="1560"/>
              </w:tabs>
              <w:spacing w:line="276" w:lineRule="auto"/>
              <w:ind w:left="-567" w:firstLine="709"/>
              <w:jc w:val="center"/>
            </w:pPr>
            <w:r w:rsidRPr="00EE714E">
              <w:t>3</w:t>
            </w:r>
          </w:p>
        </w:tc>
        <w:tc>
          <w:tcPr>
            <w:tcW w:w="7087" w:type="dxa"/>
            <w:hideMark/>
          </w:tcPr>
          <w:p w:rsidR="00BD56F0" w:rsidRPr="00EE714E" w:rsidRDefault="00BD56F0" w:rsidP="002B7C2A">
            <w:pPr>
              <w:tabs>
                <w:tab w:val="left" w:pos="1560"/>
              </w:tabs>
              <w:ind w:left="37"/>
              <w:contextualSpacing/>
              <w:jc w:val="both"/>
              <w:rPr>
                <w:lang w:eastAsia="en-US"/>
              </w:rPr>
            </w:pPr>
            <w:r w:rsidRPr="00EE714E">
              <w:rPr>
                <w:lang w:eastAsia="en-US"/>
              </w:rPr>
              <w:t>Оборудование, не пригодное для дальнейшего использования, (предназначено в лом) с разборкой и резкой на части</w:t>
            </w:r>
          </w:p>
        </w:tc>
        <w:tc>
          <w:tcPr>
            <w:tcW w:w="1985" w:type="dxa"/>
            <w:hideMark/>
          </w:tcPr>
          <w:p w:rsidR="00BD56F0" w:rsidRPr="00EE714E" w:rsidRDefault="00BD56F0" w:rsidP="002B7C2A">
            <w:pPr>
              <w:tabs>
                <w:tab w:val="left" w:pos="1560"/>
              </w:tabs>
              <w:ind w:left="-567" w:firstLine="709"/>
              <w:contextualSpacing/>
              <w:jc w:val="center"/>
              <w:rPr>
                <w:lang w:eastAsia="en-US"/>
              </w:rPr>
            </w:pPr>
            <w:r w:rsidRPr="00EE714E">
              <w:rPr>
                <w:lang w:eastAsia="en-US"/>
              </w:rPr>
              <w:t>0,5</w:t>
            </w:r>
          </w:p>
        </w:tc>
      </w:tr>
      <w:tr w:rsidR="00BD56F0" w:rsidRPr="004E169D" w:rsidTr="002B7C2A">
        <w:trPr>
          <w:jc w:val="right"/>
        </w:trPr>
        <w:tc>
          <w:tcPr>
            <w:tcW w:w="852" w:type="dxa"/>
            <w:hideMark/>
          </w:tcPr>
          <w:p w:rsidR="00BD56F0" w:rsidRPr="00EE714E" w:rsidRDefault="00BD56F0" w:rsidP="002B7C2A">
            <w:pPr>
              <w:tabs>
                <w:tab w:val="left" w:pos="1560"/>
              </w:tabs>
              <w:spacing w:line="276" w:lineRule="auto"/>
              <w:ind w:left="-567" w:firstLine="709"/>
              <w:jc w:val="center"/>
            </w:pPr>
            <w:r w:rsidRPr="00EE714E">
              <w:t>4</w:t>
            </w:r>
          </w:p>
        </w:tc>
        <w:tc>
          <w:tcPr>
            <w:tcW w:w="7087" w:type="dxa"/>
            <w:hideMark/>
          </w:tcPr>
          <w:p w:rsidR="00BD56F0" w:rsidRPr="00EE714E" w:rsidRDefault="00BD56F0" w:rsidP="002B7C2A">
            <w:pPr>
              <w:tabs>
                <w:tab w:val="left" w:pos="1560"/>
              </w:tabs>
              <w:ind w:left="37"/>
              <w:contextualSpacing/>
              <w:jc w:val="both"/>
              <w:rPr>
                <w:lang w:eastAsia="en-US"/>
              </w:rPr>
            </w:pPr>
            <w:r w:rsidRPr="00EE714E">
              <w:rPr>
                <w:lang w:eastAsia="en-US"/>
              </w:rPr>
              <w:t>Оборудование, не пригодное для дальнейшего использования, (предназначено в лом) без разборки и резки</w:t>
            </w:r>
          </w:p>
        </w:tc>
        <w:tc>
          <w:tcPr>
            <w:tcW w:w="1985" w:type="dxa"/>
            <w:hideMark/>
          </w:tcPr>
          <w:p w:rsidR="00BD56F0" w:rsidRPr="00EE714E" w:rsidRDefault="00BD56F0" w:rsidP="002B7C2A">
            <w:pPr>
              <w:tabs>
                <w:tab w:val="left" w:pos="1560"/>
              </w:tabs>
              <w:ind w:left="-567" w:firstLine="709"/>
              <w:contextualSpacing/>
              <w:jc w:val="center"/>
              <w:rPr>
                <w:lang w:eastAsia="en-US"/>
              </w:rPr>
            </w:pPr>
            <w:r w:rsidRPr="00EE714E">
              <w:rPr>
                <w:lang w:eastAsia="en-US"/>
              </w:rPr>
              <w:t>0,3</w:t>
            </w:r>
          </w:p>
        </w:tc>
      </w:tr>
    </w:tbl>
    <w:p w:rsidR="00BD56F0" w:rsidRPr="00EE714E" w:rsidRDefault="00BD56F0" w:rsidP="00BD56F0">
      <w:pPr>
        <w:tabs>
          <w:tab w:val="left" w:pos="1560"/>
        </w:tabs>
        <w:ind w:left="-567" w:firstLine="709"/>
        <w:contextualSpacing/>
        <w:jc w:val="both"/>
      </w:pP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Условия демонтажа оборудования, указанные в Таблице 2, подлежат обоснованию в проектной и (или) иной технической документации.</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Понижающие коэффициенты на демонтаж применяются к затратам труда и оплате труда рабочих и машинистов и к затратам на эксплуатацию машин и механизмов, включенным в соответствующие сметные нормы, в зависимости от вида разбираемых строительных конструкций, элементов систем и сетей инженерно-технического обеспечения, назначения демонтируемого оборудования. Стоимость материальных ресурсов в расчете не учитывается.</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 xml:space="preserve">Коэффициенты, указанные в Таблице 1 и Таблице 2, учитывают условия демонтажа строительных конструкций, элементов систем и сетей инженерно-технического обеспечения и оборудования в незакрепленном состоянии, освобожденных от заделки в </w:t>
      </w:r>
      <w:r w:rsidRPr="00EE714E">
        <w:lastRenderedPageBreak/>
        <w:t>стены и другие конструкции, а также от сварки или иного крепления с другими конструктивными элементами.</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При наличии строительных конструкций, элементов систем и сетей инженерно-технического обеспечения и оборудования, находящихся в закрепленном состоянии, дополнительные затраты, связанные с пробивкой и заделкой борозд, ниш, гнезд в существующих конструкциях, а также срезка закладных деталей или элементов металлоконструкций, к которым они приварены, учитываются дополнительно в сметных расчетах (сметах) на основании проектной и (или) иной технической документации по соответствующим сметным нормам.</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В тех случаях, когда проектной и (или) иной технической документацией при производстве демонтажных работ установлена необходимость устройства лесов для поддержки демонтируемых (разбираемых) строительных конструкций, элементов систем и сетей инженерно-технического обеспечения и оборудования, дополнительные сметные затраты по установке и разборке поддерживающих лесов надлежит учитывать дополнительно в сметных расчетах (сметах) по соответствующим сметным нормам в соответствии с положениями методических документов, сведения о которых включены в ФРСН.</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В сметных нормах не учтены затраты по погрузке, вывозке и разгрузке строительного мусора и материалов, не годных для дальнейшего применения, получаемых при разборке конструктивных элементов зданий и сооружений и оборудования. Эти затраты в сметных расчетах (сметах) должны определяться дополнительно исходя из действующих сметных норм на погрузо-разгрузочные работы, перевозку грузов, массы и расстояний от строительной площадки до места складирования материальных ресурсов или размещения мусора (согласно данным проектной и (или) иной технической документации) на специальных полигонах с учетом положений соответствующих методических документов.</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Наименование, перечень, масса и расстояние перевозки строительного мусора и материалов, полученных при разборке, определяются на основании проектной и (или) иной технической документации, проекта организации работ по сносу объекта капитального строительства.</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В случае отсутствия в проектной документации необходимых данных о массе разбираемых строительных конструкций, элементов систем и сетей инженерно-технического обеспечения объемный вес строительного мусора может быть принят по следующим данным:</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при разборке бетонных конструкций - 2400 кг/м3;</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при разборке железобетонных конструкций - 2500 кг/м3,</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при разборке конструкций из кирпича, камня, отбивке штукатурки и облицовочной плитки - 1800 кг/м3;</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при разборке конструкций деревянных и каркасно-засыпных - 600 кг/м3;</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при выполнении прочих работ по разборке (кроме работ по разборке металлоконструкций и оборудования) - 1200 кг/м3.</w:t>
      </w:r>
    </w:p>
    <w:p w:rsidR="00BD56F0" w:rsidRPr="00EE714E" w:rsidRDefault="00BD56F0" w:rsidP="00BD56F0">
      <w:pPr>
        <w:numPr>
          <w:ilvl w:val="1"/>
          <w:numId w:val="1"/>
        </w:numPr>
        <w:tabs>
          <w:tab w:val="left" w:pos="851"/>
          <w:tab w:val="left" w:pos="1418"/>
        </w:tabs>
        <w:spacing w:line="23" w:lineRule="atLeast"/>
        <w:ind w:left="0" w:firstLine="851"/>
        <w:contextualSpacing/>
        <w:jc w:val="both"/>
        <w:rPr>
          <w:sz w:val="22"/>
          <w:szCs w:val="22"/>
          <w:lang w:eastAsia="en-US"/>
        </w:rPr>
      </w:pPr>
      <w:r w:rsidRPr="00EE714E">
        <w:t>Объемный вес строительного мусора от разборки строительных конструкций приведен из учета их в плотном теле конструкций. Масса демонтируемых металлоконструкций и оборудования принимается по данным технической документации</w:t>
      </w:r>
      <w:r w:rsidRPr="00EE714E">
        <w:rPr>
          <w:sz w:val="22"/>
          <w:szCs w:val="22"/>
          <w:lang w:eastAsia="en-US"/>
        </w:rPr>
        <w:t>.</w:t>
      </w:r>
    </w:p>
    <w:p w:rsidR="00BD56F0" w:rsidRPr="00EE714E" w:rsidRDefault="00BD56F0" w:rsidP="00BD56F0">
      <w:pPr>
        <w:keepNext/>
        <w:numPr>
          <w:ilvl w:val="0"/>
          <w:numId w:val="1"/>
        </w:numPr>
        <w:shd w:val="clear" w:color="auto" w:fill="FFFFFF"/>
        <w:autoSpaceDE w:val="0"/>
        <w:autoSpaceDN w:val="0"/>
        <w:adjustRightInd w:val="0"/>
        <w:spacing w:before="240" w:line="23" w:lineRule="atLeast"/>
        <w:ind w:left="142" w:hanging="357"/>
        <w:jc w:val="both"/>
        <w:outlineLvl w:val="0"/>
        <w:rPr>
          <w:b/>
          <w:bCs/>
          <w:smallCaps/>
          <w:spacing w:val="5"/>
          <w:lang w:eastAsia="en-US"/>
        </w:rPr>
      </w:pPr>
      <w:r w:rsidRPr="00EE714E">
        <w:rPr>
          <w:smallCaps/>
          <w:spacing w:val="5"/>
        </w:rPr>
        <w:t>Определение стоимости материально-технических ресурсов</w:t>
      </w:r>
    </w:p>
    <w:p w:rsidR="00BD56F0" w:rsidRPr="00EE714E" w:rsidRDefault="00BD56F0" w:rsidP="00BD56F0">
      <w:pPr>
        <w:keepNext/>
        <w:shd w:val="clear" w:color="auto" w:fill="FFFFFF"/>
        <w:autoSpaceDE w:val="0"/>
        <w:autoSpaceDN w:val="0"/>
        <w:adjustRightInd w:val="0"/>
        <w:spacing w:before="240" w:line="23" w:lineRule="atLeast"/>
        <w:ind w:left="142"/>
        <w:jc w:val="both"/>
        <w:outlineLvl w:val="0"/>
        <w:rPr>
          <w:b/>
          <w:bCs/>
          <w:smallCaps/>
          <w:spacing w:val="5"/>
          <w:lang w:eastAsia="en-US"/>
        </w:rPr>
      </w:pP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При определении стоимости МТР в сметной документации на основании сметно-нормативных баз, включенных в ФРСН, необходимо руководствоваться следующей приоритетностью:</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lastRenderedPageBreak/>
        <w:t xml:space="preserve">данные о текущих сметных ценах материальных ресурсов и оборудования, размещенные в ФГИС ЦС; </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данные ФСБЦ 81-01-2022«Федеральные сметные цены на материалы, изделия и конструкции, применяемые в строительстве в базисном уровне цен» (далее – ФСБЦ) с учетом индексов изменения сметной стоимости строительства по группам однородных строительных ресурсов, информация о которых размещена в ФГИС ЦС;</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 xml:space="preserve">данные о текущей стоимости МТР, учтенных в сметной документации по текущей стоимости (в случае отсутствия данных в ФГИС ЦС и ФСБЦ), сформированные с учетом положений п. 10.14 настоящей Методики. </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 xml:space="preserve">Стоимость МТР, указанных в ВОР и (или) иной технической документации, учитывается в сметной документации вне зависимости от условий их приобретения – заказчиком или подрядчиком. </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В случае, если проектной и (или) иной технической документацией предусмотрено применение годных для повторного использования ранее использованных один и более раз МТР, их стоимость в текущем уровне цен определяется заказчиком с учетом оценки их возможного повторного использования.</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Сметная стоимость МТР, используемых несколько раз при выполнении отдельных видов работ в соответствии с технологией строительного производства (оборачиваемые ресурсы), определяется на основании данных об их количестве с учетом неоднократной оборачиваемости, приведенных в сметных нормах.</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Сметная стоимость оборачиваемых ресурсов, учтенных в сметных нормах с обобщенным наименованием и указанием кода группы или не учтенных в сметных нормах и приведенных с литерой "П", определяется с учетом их нормативной оборачиваемости, указанной в соответствующих разделах сборников сметных норм</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 xml:space="preserve"> Стоимость оборудования, определенного на основании ФСБЦ (книга 62), определяется с применением индекса изменения сметной стоимости оборудования для отрасли «Электроэнергетика», публикуемого Минстроем России для соответствующего периода.</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Текущая стоимость МТР, размещенная в ФГИС ЦС, а также стоимость МТР в ФСБЦ учитывают все расходы, связанные с приобретением и доставкой МТР от поставщиков (производителей) до приобъектного склада объекта. Транспортные затраты приняты из условия перевозки грузов автомобильным транспортом на расстояние до 30 километров.</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Затраты на перевозку грузов на дополнительное расстояние сверх учтенного сметными ценами (при соответствующем обосновании проектной и (или) иной технической документацией) определяются как разница между показателями (по позициям цен) перевозки грузов для необходимого расстояния и расстояния, учтенного сметными ценами, и приводятся в сметах отдельной строкой с одновременным указанием кода строительного ресурса, к которому относятся указанные затраты.</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Затраты на перевозку грузов, в том числе на дополнительное расстояние, а также на погрузочно-разгрузочные работы при отсутствии индексов на перевозку определяются с использованием индекса к СМР, а при его отсутствии - индекса к сметной стоимости эксплуатации машин и механизмов и относятся к сметной стоимости МТР.</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Предельный уровень ТЗСР к текущей стоимости МТР может быть применен в размере не более 5% от стоимости материалов, не более 3% от стоимости оборудования и запасных частей в случае, если указанные затраты не учтены в текущей цене МТР. Уровень ТЗСР, превышающий указанные предельные значения, возможно использовать в исключительных случаях, например:</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rPr>
          <w:kern w:val="32"/>
        </w:rPr>
        <w:t xml:space="preserve">при </w:t>
      </w:r>
      <w:r w:rsidRPr="00EE714E">
        <w:t>доставке импортного и/или негабаритного оборудования от завода-изготовителя, подтверждённой транспортной схемой, документами логистических компаний и т.п.;</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lastRenderedPageBreak/>
        <w:t>в случае особой</w:t>
      </w:r>
      <w:r w:rsidRPr="00EE714E">
        <w:rPr>
          <w:kern w:val="32"/>
        </w:rPr>
        <w:t xml:space="preserve"> удалённости и труднодоступности объекта, при соответствующем обосновании.</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 xml:space="preserve">Для обоснования стоимости МТР, учтенных в составе сметной документации по текущим ценам, рекомендуется формировать сводный перечень, сформированный на основе конъюнктурного анализа.  </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 xml:space="preserve"> Метод определения сметной стоимости МТР по наиболее экономичному варианту, определенному на основании сбора информации о текущих ценах (конъюнктурный анализ – КА) применяется при отсутствии данных о сметных ценах на отдельные материалы, изделия, конструкции и оборудование в ФЦЦС.</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 xml:space="preserve"> Порядок сбора информации о текущих ценах (конъюнктурный анализ) определен положениями Методики определения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421/пр (далее – МОСС).</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 xml:space="preserve"> Документы производителей и (или) поставщиков соответствующих МТР, обосновывающие их цену, должны содержать следующую информацию: дата составления документа, дата и (или) сроки действия ценовых предложений, информация об учете (или не учете) в ценах отдельных затрат (перевозка, шефмонтаж, шефналадка и тому подобное), а также налога на добавленную стоимость, и должны быть получены в период, не превышающий 1 года до момента определения сметной стоимости.</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 xml:space="preserve"> Характеристики МТР, содержащиеся в ТКП, должны соответствовать техническим требованиям, содержащимся в проектной, рабочей и (или) иной технической документации.</w:t>
      </w:r>
    </w:p>
    <w:p w:rsidR="00BD56F0" w:rsidRPr="00EE714E" w:rsidRDefault="00BD56F0" w:rsidP="00BD56F0">
      <w:pPr>
        <w:numPr>
          <w:ilvl w:val="1"/>
          <w:numId w:val="1"/>
        </w:numPr>
        <w:tabs>
          <w:tab w:val="left" w:pos="851"/>
          <w:tab w:val="left" w:pos="1418"/>
        </w:tabs>
        <w:spacing w:after="120" w:line="23" w:lineRule="atLeast"/>
        <w:ind w:left="0" w:firstLine="851"/>
        <w:contextualSpacing/>
        <w:jc w:val="both"/>
      </w:pPr>
      <w:r w:rsidRPr="00EE714E">
        <w:t>При необходимости приведения стоимости МТР, учтенных в сметной документации в текущем уровне цен предыдущих периодов, к уровню цен сметной документации, учет инфляции возможен посредством использования следующих вариантов расчета:</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посредством деления указанной в обосновывающем документе цены МТР на соответствующий индекс пересчета, регламентированный Минстроем России на момент действия цены МТР, с дальнейшим пересчетом в текущий уровень с применением регламентированного индекса на планируемый период или актуального на момент составления сметной документации индекса Минстроя России;</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 xml:space="preserve">посредством применения к текущей стоимости МТР, включая оборудование, показателя индекса-дефлятора «Темп роста индекса-дефлятора валового накопления основного капитала (инвестиций)», определяемого согласно данным, содержащимся в составе прогноза социально-экономического развития Российской Федерации, опубликованного Минэкономразвития России, с учетом сроков реализации мероприятия.  </w:t>
      </w:r>
    </w:p>
    <w:p w:rsidR="00BD56F0" w:rsidRPr="00EE714E" w:rsidRDefault="00BD56F0" w:rsidP="00BD56F0">
      <w:pPr>
        <w:numPr>
          <w:ilvl w:val="1"/>
          <w:numId w:val="1"/>
        </w:numPr>
        <w:tabs>
          <w:tab w:val="left" w:pos="851"/>
          <w:tab w:val="left" w:pos="1418"/>
        </w:tabs>
        <w:spacing w:line="23" w:lineRule="atLeast"/>
        <w:ind w:left="0" w:firstLine="851"/>
        <w:jc w:val="both"/>
      </w:pPr>
      <w:r w:rsidRPr="00EE714E">
        <w:t xml:space="preserve">В случае, если текущая стоимость МТР определена с использованием ценовой информации в валюте иностранного государства, то стоимость таких МТР определяется на основании актуальных курсов валют на момент формирования сметной стоимости. На этапе реализации стоимость таких МТР определяется в соответствии с условиями договора. </w:t>
      </w:r>
    </w:p>
    <w:p w:rsidR="00BD56F0" w:rsidRPr="00EE714E" w:rsidRDefault="00BD56F0" w:rsidP="00BD56F0">
      <w:pPr>
        <w:numPr>
          <w:ilvl w:val="1"/>
          <w:numId w:val="1"/>
        </w:numPr>
        <w:tabs>
          <w:tab w:val="left" w:pos="851"/>
          <w:tab w:val="left" w:pos="1418"/>
        </w:tabs>
        <w:spacing w:line="23" w:lineRule="atLeast"/>
        <w:ind w:left="0" w:firstLine="851"/>
        <w:jc w:val="both"/>
      </w:pPr>
      <w:r w:rsidRPr="00EE714E">
        <w:t>При соответствующем обосновании в задании на изготовление и поставку оборудования в сметную стоимость оборудования включаются затраты на:</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шефмонтаж и (или) шефналадку, осуществляемые представителями производителя оборудования или по его поручению специализированными организациями;</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доводку (калибровку) на месте установки крупного металлургического, угольного, горнорудного и другого технологического оборудования, осуществляемую в технологической цепи совместно с другим оборудованием или при отсутствии у производителя стендов и испытательных станций;</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lastRenderedPageBreak/>
        <w:t>доизготовление (доработку и укрупнительную сборку) в построечных условиях оборудования, как правило, крупногабаритного и тяжеловесного, поставляемого на стройку производителем в виде отдельных узлов и деталей (за исключением доизготовления, учитываемого в составе сметных норм на монтаж оборудования);</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изготовление специальной оснастки в индивидуальном исполнении, необходимой для монтажа крупногабаритного, тяжеловесного или технически сложного при производстве работ по монтажу оборудования;</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предварительно установленное программное обеспечение;</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затраты по оценке соответствия оборудования 1, 2, 3 класса безопасности в процессе его изготовления и иные расходы, связанные с обязательными требованиями по его проверке, сертификации и аттестации;</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приобретение комплекта запасных частей на гарантийный срок эксплуатации;</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другие затраты, необходимые для доведения его до состояния, в котором оборудование пригодно для использования, за исключением затрат, учитываемых отдельно в ССР.</w:t>
      </w:r>
    </w:p>
    <w:p w:rsidR="00BD56F0" w:rsidRPr="00EE714E" w:rsidRDefault="00BD56F0" w:rsidP="00BD56F0">
      <w:pPr>
        <w:numPr>
          <w:ilvl w:val="1"/>
          <w:numId w:val="1"/>
        </w:numPr>
        <w:tabs>
          <w:tab w:val="left" w:pos="851"/>
          <w:tab w:val="left" w:pos="1418"/>
        </w:tabs>
        <w:spacing w:after="200" w:line="23" w:lineRule="atLeast"/>
        <w:ind w:left="0" w:firstLine="851"/>
        <w:contextualSpacing/>
        <w:jc w:val="both"/>
      </w:pPr>
      <w:r w:rsidRPr="00EE714E">
        <w:t>В случае, если указанные в пункте 4.18 затраты не учтены в сметной цене оборудования, их стоимость учитывается в локальных сметных расчетах (сметах) дополнительно на основании отдельных расчетов.</w:t>
      </w:r>
    </w:p>
    <w:p w:rsidR="00BD56F0" w:rsidRPr="00EE714E" w:rsidRDefault="00BD56F0" w:rsidP="00BD56F0">
      <w:pPr>
        <w:tabs>
          <w:tab w:val="left" w:pos="851"/>
          <w:tab w:val="left" w:pos="1418"/>
        </w:tabs>
        <w:spacing w:after="200" w:line="23" w:lineRule="atLeast"/>
        <w:ind w:left="851"/>
        <w:contextualSpacing/>
        <w:jc w:val="both"/>
      </w:pPr>
    </w:p>
    <w:p w:rsidR="00BD56F0" w:rsidRPr="00EE714E" w:rsidRDefault="00BD56F0" w:rsidP="00BD56F0">
      <w:pPr>
        <w:keepNext/>
        <w:numPr>
          <w:ilvl w:val="0"/>
          <w:numId w:val="1"/>
        </w:numPr>
        <w:shd w:val="clear" w:color="auto" w:fill="FFFFFF"/>
        <w:autoSpaceDE w:val="0"/>
        <w:autoSpaceDN w:val="0"/>
        <w:adjustRightInd w:val="0"/>
        <w:spacing w:line="23" w:lineRule="atLeast"/>
        <w:jc w:val="both"/>
        <w:outlineLvl w:val="0"/>
        <w:rPr>
          <w:b/>
          <w:bCs/>
          <w:smallCaps/>
          <w:spacing w:val="5"/>
          <w:sz w:val="22"/>
          <w:szCs w:val="22"/>
          <w:lang w:eastAsia="en-US"/>
        </w:rPr>
      </w:pPr>
      <w:r w:rsidRPr="00EE714E">
        <w:rPr>
          <w:smallCaps/>
          <w:spacing w:val="5"/>
          <w:sz w:val="22"/>
          <w:szCs w:val="20"/>
        </w:rPr>
        <w:t>Порядок начисления накладных расходов и сметной прибыли в локальных сметных расчётах при применении СНБ Минстроя России</w:t>
      </w:r>
    </w:p>
    <w:p w:rsidR="00BD56F0" w:rsidRPr="00EE714E" w:rsidRDefault="00BD56F0" w:rsidP="00BD56F0">
      <w:pPr>
        <w:keepNext/>
        <w:shd w:val="clear" w:color="auto" w:fill="FFFFFF"/>
        <w:autoSpaceDE w:val="0"/>
        <w:autoSpaceDN w:val="0"/>
        <w:adjustRightInd w:val="0"/>
        <w:spacing w:line="23" w:lineRule="atLeast"/>
        <w:ind w:left="144"/>
        <w:jc w:val="both"/>
        <w:outlineLvl w:val="0"/>
        <w:rPr>
          <w:b/>
          <w:bCs/>
          <w:smallCaps/>
          <w:spacing w:val="5"/>
          <w:sz w:val="22"/>
          <w:szCs w:val="22"/>
          <w:lang w:eastAsia="en-US"/>
        </w:rPr>
      </w:pPr>
    </w:p>
    <w:p w:rsidR="00BD56F0" w:rsidRPr="00EE714E" w:rsidRDefault="00BD56F0" w:rsidP="00BD56F0">
      <w:pPr>
        <w:numPr>
          <w:ilvl w:val="1"/>
          <w:numId w:val="1"/>
        </w:numPr>
        <w:tabs>
          <w:tab w:val="left" w:pos="709"/>
          <w:tab w:val="left" w:pos="851"/>
          <w:tab w:val="left" w:pos="993"/>
          <w:tab w:val="left" w:pos="1418"/>
        </w:tabs>
        <w:spacing w:line="23" w:lineRule="atLeast"/>
        <w:ind w:left="0" w:firstLine="851"/>
        <w:jc w:val="both"/>
        <w:rPr>
          <w:sz w:val="22"/>
          <w:szCs w:val="22"/>
        </w:rPr>
      </w:pPr>
      <w:r w:rsidRPr="00EE714E">
        <w:t>Накладные расходы и сметная прибыль в составе сметной стоимости мероприятий ТПиР, определенной с применением сметных норм, сведения о которых включены в ФРСН, определяются в процентах от размера средств на оплату труда, включая оплату труда механизаторов (фонда оплаты труда – ФОТ), учитываемого в составе сметных прямых затрат в соответствии с Методикой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Минстроя России от 21.12.2020 № 812/пр (далее – Методика 812/пр) в актуальной редакции и Методикой по разработке и применению нормативов сметной прибыли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Минстроя России от 11.12.2020 № 774/пр (далее – Методика 774/пр).</w:t>
      </w:r>
    </w:p>
    <w:p w:rsidR="00BD56F0" w:rsidRPr="00EE714E" w:rsidRDefault="00BD56F0" w:rsidP="00BD56F0">
      <w:pPr>
        <w:numPr>
          <w:ilvl w:val="1"/>
          <w:numId w:val="1"/>
        </w:numPr>
        <w:tabs>
          <w:tab w:val="left" w:pos="709"/>
          <w:tab w:val="left" w:pos="851"/>
          <w:tab w:val="left" w:pos="993"/>
          <w:tab w:val="left" w:pos="1418"/>
        </w:tabs>
        <w:spacing w:line="23" w:lineRule="atLeast"/>
        <w:ind w:left="0" w:firstLine="851"/>
        <w:jc w:val="both"/>
      </w:pPr>
      <w:r w:rsidRPr="00EE714E">
        <w:t>Нормативы накладных расходов по видам работ, связанные с экономико-географическими и природно-климатическими условиями, дифференцируются по территории строительства:</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для территории Российской Федерации, не относящейся к РКС и МПРКС;</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для территории Российской Федерации, относящейся к РКС;</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для территории Российской Федерации, относящейся МПРКС.</w:t>
      </w:r>
    </w:p>
    <w:p w:rsidR="00BD56F0" w:rsidRPr="00EE714E" w:rsidRDefault="00BD56F0" w:rsidP="00BD56F0">
      <w:pPr>
        <w:numPr>
          <w:ilvl w:val="1"/>
          <w:numId w:val="1"/>
        </w:numPr>
        <w:tabs>
          <w:tab w:val="left" w:pos="709"/>
          <w:tab w:val="left" w:pos="851"/>
          <w:tab w:val="left" w:pos="993"/>
          <w:tab w:val="left" w:pos="1418"/>
        </w:tabs>
        <w:spacing w:line="23" w:lineRule="atLeast"/>
        <w:ind w:left="0" w:firstLine="851"/>
        <w:jc w:val="both"/>
      </w:pPr>
      <w:r w:rsidRPr="00EE714E">
        <w:t>Перечень РКС и МПРКС установлен Правительством РФ в соответствии со статьей 2 Закона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w:t>
      </w:r>
    </w:p>
    <w:p w:rsidR="00BD56F0" w:rsidRPr="00EE714E" w:rsidRDefault="00BD56F0" w:rsidP="00BD56F0">
      <w:pPr>
        <w:numPr>
          <w:ilvl w:val="1"/>
          <w:numId w:val="1"/>
        </w:numPr>
        <w:tabs>
          <w:tab w:val="left" w:pos="709"/>
          <w:tab w:val="left" w:pos="851"/>
          <w:tab w:val="left" w:pos="993"/>
          <w:tab w:val="left" w:pos="1418"/>
        </w:tabs>
        <w:spacing w:line="23" w:lineRule="atLeast"/>
        <w:ind w:left="0" w:firstLine="851"/>
        <w:jc w:val="both"/>
      </w:pPr>
      <w:r w:rsidRPr="00EE714E">
        <w:t>Затраты, учитываемые при определении нормативов накладных расходов по видам работ, и затраты, относимые к накладным расходам в строительстве, но не включенные в нормативы накладных расходов по видам работ, приведены в разделах III и IV Методики 812/пр.</w:t>
      </w:r>
    </w:p>
    <w:p w:rsidR="00BD56F0" w:rsidRPr="00EE714E" w:rsidRDefault="00BD56F0" w:rsidP="00BD56F0">
      <w:pPr>
        <w:numPr>
          <w:ilvl w:val="1"/>
          <w:numId w:val="1"/>
        </w:numPr>
        <w:tabs>
          <w:tab w:val="left" w:pos="709"/>
          <w:tab w:val="left" w:pos="851"/>
          <w:tab w:val="left" w:pos="993"/>
          <w:tab w:val="left" w:pos="1418"/>
        </w:tabs>
        <w:spacing w:line="23" w:lineRule="atLeast"/>
        <w:ind w:left="0" w:firstLine="851"/>
        <w:jc w:val="both"/>
      </w:pPr>
      <w:r w:rsidRPr="00EE714E">
        <w:t>Затраты, относимые к накладным расходам, но не включенные в нормативы накладных расходов по видам работ, при составлении сметной документации учитываются дополнительно в соответствии с положениями сметных нормативов, сведения о которых включены в ФРСН.</w:t>
      </w:r>
    </w:p>
    <w:p w:rsidR="00BD56F0" w:rsidRPr="00EE714E" w:rsidRDefault="00BD56F0" w:rsidP="00BD56F0">
      <w:pPr>
        <w:numPr>
          <w:ilvl w:val="1"/>
          <w:numId w:val="1"/>
        </w:numPr>
        <w:tabs>
          <w:tab w:val="left" w:pos="709"/>
          <w:tab w:val="left" w:pos="851"/>
          <w:tab w:val="left" w:pos="993"/>
          <w:tab w:val="left" w:pos="1418"/>
        </w:tabs>
        <w:spacing w:line="23" w:lineRule="atLeast"/>
        <w:ind w:left="0" w:firstLine="851"/>
        <w:jc w:val="both"/>
      </w:pPr>
      <w:r w:rsidRPr="00EE714E">
        <w:lastRenderedPageBreak/>
        <w:t>Затраты, приведенные в разделе III Методики 774/пр, учтены в нормативах сметной прибыли.</w:t>
      </w:r>
    </w:p>
    <w:p w:rsidR="00BD56F0" w:rsidRPr="00EE714E" w:rsidRDefault="00BD56F0" w:rsidP="00BD56F0">
      <w:pPr>
        <w:numPr>
          <w:ilvl w:val="1"/>
          <w:numId w:val="1"/>
        </w:numPr>
        <w:tabs>
          <w:tab w:val="left" w:pos="709"/>
          <w:tab w:val="left" w:pos="851"/>
          <w:tab w:val="left" w:pos="993"/>
          <w:tab w:val="left" w:pos="1418"/>
        </w:tabs>
        <w:spacing w:line="23" w:lineRule="atLeast"/>
        <w:ind w:left="0" w:firstLine="851"/>
        <w:contextualSpacing/>
        <w:jc w:val="both"/>
      </w:pPr>
      <w:r w:rsidRPr="00EE714E">
        <w:t xml:space="preserve">Затраты, приведенные в разделе </w:t>
      </w:r>
      <w:r w:rsidRPr="00EE714E">
        <w:rPr>
          <w:lang w:val="en-US"/>
        </w:rPr>
        <w:t>IV</w:t>
      </w:r>
      <w:r w:rsidRPr="00EE714E">
        <w:t xml:space="preserve"> Методики 774/пр, в сметной документации дополнительно не учитываются.</w:t>
      </w:r>
    </w:p>
    <w:p w:rsidR="00BD56F0" w:rsidRPr="00EE714E" w:rsidRDefault="00BD56F0" w:rsidP="00BD56F0">
      <w:pPr>
        <w:numPr>
          <w:ilvl w:val="0"/>
          <w:numId w:val="1"/>
        </w:numPr>
        <w:shd w:val="clear" w:color="auto" w:fill="FFFFFF"/>
        <w:tabs>
          <w:tab w:val="left" w:pos="709"/>
        </w:tabs>
        <w:autoSpaceDE w:val="0"/>
        <w:autoSpaceDN w:val="0"/>
        <w:adjustRightInd w:val="0"/>
        <w:spacing w:before="240" w:after="240" w:line="23" w:lineRule="atLeast"/>
        <w:jc w:val="both"/>
        <w:outlineLvl w:val="0"/>
        <w:rPr>
          <w:bCs/>
        </w:rPr>
      </w:pPr>
      <w:r w:rsidRPr="00EE714E">
        <w:rPr>
          <w:bCs/>
        </w:rPr>
        <w:t>ПОРЯДОК УЧЕТА УСЛОЖНЯЮЩИХ ФАКТОРОВ И УСЛОВИЙ ПРОИЗВОДСТВА РАБОТ</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Сметными нормами учтены оптимальные технологические и организационные схемы производства работ, набор (перечень) машин, механизмов и материальных ресурсов при рациональной организации труда и производства, современного развития техники и технологии, соблюдения требований безопасности в нормальных (стандартных) условиях, не осложненных внешними факторами (стесненность, загазованность и т.п.) и положительных значениях температуры воздуха.</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К "усложняющим" относятся факторы, которые влияют на условия выполнения работ, связанные с технологическими особенностями их выполнения (разработка мокрого грунта, кирпичная кладка закругленных стен, и т.п.). Коэффициенты, учитывающие усложняющие факторы производства работ, приведены в Общих положениях, Технических частях и Приложениях соответствующих сборников.</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Коэффициенты, учитывающие влияние условий производства работ, дифференцированы в зависимости от вида применяемых сметных норм для строительства, реконструкции, капитального ремонта, ПНР и сохранения объектов культурного наследия.</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По объектам ТПиР для учета влияния условий производства работ, указанных в проектной и (или) иной технической документации, применяются коэффициенты к сметным нормам, в том числе их отдельным составляющим, приведенные в Приложении № 10 к МОСС для реконструкции и ПНР.</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В случае отсутствия возможности применения технологических схем производства работ, принятых в сметных нормах, включенных в сборники ГЭСН, и при необходимости проведения работ отдельными малыми участками с ограниченным объемом работ, в том числе снижения производительности машин и механизмов, при определении стоимости работ по ТПиР по сметным нормам, включенным в ГЭСН, аналогичным технологическим процессам в новом строительстве, в том числе по возведению новых конструктивных элементов, в сметной документации могут быть учтены коэффициенты 1,15 к нормам затрат труда и 1,25 к нормам времени эксплуатации строительных машин (в том числе к оплате труда машинистов).</w:t>
      </w:r>
    </w:p>
    <w:p w:rsidR="00BD56F0" w:rsidRPr="00EE714E" w:rsidRDefault="00BD56F0" w:rsidP="00BD56F0">
      <w:pPr>
        <w:numPr>
          <w:ilvl w:val="1"/>
          <w:numId w:val="1"/>
        </w:numPr>
        <w:tabs>
          <w:tab w:val="left" w:pos="851"/>
          <w:tab w:val="left" w:pos="1418"/>
        </w:tabs>
        <w:spacing w:line="23" w:lineRule="atLeast"/>
        <w:ind w:left="0" w:firstLine="851"/>
        <w:contextualSpacing/>
        <w:jc w:val="both"/>
        <w:rPr>
          <w:lang w:eastAsia="en-US"/>
        </w:rPr>
      </w:pPr>
      <w:r w:rsidRPr="00EE714E">
        <w:t>Указанные коэффициенты</w:t>
      </w:r>
      <w:r w:rsidRPr="00EE714E">
        <w:rPr>
          <w:lang w:eastAsia="en-US"/>
        </w:rPr>
        <w:t xml:space="preserve"> не применяются:</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к сметным нормам сборника ГЭСН 81-02-46-... "Работы при реконструкции зданий и сооружений";</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к сметным нормам ГЭСНм, ГЭСНмр</w:t>
      </w:r>
      <w:r w:rsidRPr="00EE714E">
        <w:rPr>
          <w:strike/>
        </w:rPr>
        <w:t>,</w:t>
      </w:r>
      <w:r w:rsidRPr="00EE714E">
        <w:t xml:space="preserve"> ГЭСНр, ГЭСНрр, ГЭСНп</w:t>
      </w:r>
      <w:r w:rsidRPr="00EE714E">
        <w:rPr>
          <w:strike/>
        </w:rPr>
        <w:t>;</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на работы по демонтажу строительных конструкций, систем и сетей инженерно-технического обеспечения;</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на работы по реконструкции дорог, в том числе автомобильных дорог (за исключением внутриквартальных площадок, проездов и дорожек) и искусственных дорожных сооружений в условиях полного ограничения (закрытия) движения сторонних транспортных средств и исключения других факторов, ограничивающих производство указанных работ;</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на работы по реконструкции инженерных сооружений, в том числе гидротехнических сооружений, мостов, путепроводов и тому подобное в объемах, обеспечивающих работы полноценными захватками, сметная стоимость которых определена по сметным нормам ГЭСН</w:t>
      </w:r>
      <w:r w:rsidRPr="00EE714E">
        <w:rPr>
          <w:strike/>
        </w:rPr>
        <w:t>;</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t xml:space="preserve">на работы по реконструкции (с полной заменой) наружных (магистральных) инженерных сетей (за исключением – внутриквартальных в границах красных линий </w:t>
      </w:r>
      <w:r w:rsidRPr="00EE714E">
        <w:lastRenderedPageBreak/>
        <w:t>кварталов, а также капитального ремонта магистральных сетей со сменой отдельных участков трубопровода до 200 м на 1 км сети).</w:t>
      </w:r>
    </w:p>
    <w:p w:rsidR="00BD56F0" w:rsidRPr="00EE714E" w:rsidRDefault="00BD56F0" w:rsidP="00BD56F0">
      <w:pPr>
        <w:numPr>
          <w:ilvl w:val="1"/>
          <w:numId w:val="1"/>
        </w:numPr>
        <w:tabs>
          <w:tab w:val="left" w:pos="851"/>
          <w:tab w:val="left" w:pos="1418"/>
        </w:tabs>
        <w:spacing w:line="23" w:lineRule="atLeast"/>
        <w:ind w:left="0" w:firstLine="851"/>
        <w:jc w:val="both"/>
      </w:pPr>
      <w:r w:rsidRPr="00EE714E">
        <w:t>Особые условия производства работ и усложняющие факторы в обязательном порядке подлежат обоснованию в проектной и (или) иной технической документации. Для более точного отражения условий производства работ в сметной документации рекомендуется в проектной и (или) иной технической документации указывать перечень и объемы работ, выполняемых в стесненных условиях.</w:t>
      </w:r>
    </w:p>
    <w:p w:rsidR="00BD56F0" w:rsidRPr="00EE714E" w:rsidRDefault="00BD56F0" w:rsidP="00BD56F0">
      <w:pPr>
        <w:numPr>
          <w:ilvl w:val="1"/>
          <w:numId w:val="1"/>
        </w:numPr>
        <w:tabs>
          <w:tab w:val="left" w:pos="851"/>
          <w:tab w:val="left" w:pos="1418"/>
        </w:tabs>
        <w:spacing w:line="23" w:lineRule="atLeast"/>
        <w:ind w:left="0" w:firstLine="851"/>
        <w:jc w:val="both"/>
      </w:pPr>
      <w:r w:rsidRPr="00EE714E">
        <w:t>При одновременном применении нескольких коэффициентов, учитывающих снижение производительности труда, приведенных в таблице 5 Приложения № 10 к МОСС, результирующее значение коэффициента определяется путем суммирования дробных частей таких коэффициентов и единицы по следующей формуле:</w:t>
      </w:r>
    </w:p>
    <w:p w:rsidR="00BD56F0" w:rsidRPr="00EE714E" w:rsidRDefault="00BD56F0" w:rsidP="00BD56F0">
      <w:pPr>
        <w:tabs>
          <w:tab w:val="left" w:pos="709"/>
        </w:tabs>
        <w:jc w:val="both"/>
        <w:rPr>
          <w:rFonts w:eastAsia="Calibri"/>
        </w:rPr>
      </w:pPr>
    </w:p>
    <w:p w:rsidR="00BD56F0" w:rsidRPr="00EE714E" w:rsidRDefault="00BD56F0" w:rsidP="00BD56F0">
      <w:pPr>
        <w:tabs>
          <w:tab w:val="left" w:pos="709"/>
        </w:tabs>
        <w:jc w:val="center"/>
        <w:rPr>
          <w:rFonts w:eastAsia="Calibri"/>
        </w:rPr>
      </w:pPr>
      <w:r w:rsidRPr="00EE714E">
        <w:rPr>
          <w:rFonts w:eastAsia="Calibri"/>
        </w:rPr>
        <w:t>К = (ДК1 + ДК2 + .... + ДКn + 1),</w:t>
      </w:r>
    </w:p>
    <w:p w:rsidR="00BD56F0" w:rsidRPr="00EE714E" w:rsidRDefault="00BD56F0" w:rsidP="00BD56F0">
      <w:pPr>
        <w:tabs>
          <w:tab w:val="left" w:pos="709"/>
        </w:tabs>
        <w:jc w:val="both"/>
        <w:rPr>
          <w:rFonts w:eastAsia="Calibri"/>
        </w:rPr>
      </w:pPr>
      <w:r w:rsidRPr="00EE714E">
        <w:rPr>
          <w:rFonts w:eastAsia="Calibri"/>
        </w:rPr>
        <w:t>где:</w:t>
      </w:r>
    </w:p>
    <w:p w:rsidR="00BD56F0" w:rsidRPr="00EE714E" w:rsidRDefault="00BD56F0" w:rsidP="00BD56F0">
      <w:pPr>
        <w:tabs>
          <w:tab w:val="left" w:pos="709"/>
        </w:tabs>
        <w:ind w:firstLine="567"/>
        <w:jc w:val="both"/>
        <w:rPr>
          <w:rFonts w:eastAsia="Calibri"/>
        </w:rPr>
      </w:pPr>
      <w:r w:rsidRPr="00EE714E">
        <w:rPr>
          <w:rFonts w:eastAsia="Calibri"/>
        </w:rPr>
        <w:t>К - общий коэффициент к составляющим сметной нормы при наличии двух и более условий производства работ, учитывающих снижение их производительности;</w:t>
      </w:r>
    </w:p>
    <w:p w:rsidR="00BD56F0" w:rsidRPr="00EE714E" w:rsidRDefault="00BD56F0" w:rsidP="00BD56F0">
      <w:pPr>
        <w:tabs>
          <w:tab w:val="left" w:pos="709"/>
        </w:tabs>
        <w:ind w:firstLine="567"/>
        <w:jc w:val="both"/>
        <w:rPr>
          <w:rFonts w:eastAsia="Calibri"/>
        </w:rPr>
      </w:pPr>
      <w:r w:rsidRPr="00EE714E">
        <w:rPr>
          <w:rFonts w:eastAsia="Calibri"/>
        </w:rPr>
        <w:t>ДК1, ДК2, ДКn - дробные части каждого коэффициента, выбранного из таблицы 5 Приложения N 10 к МОСС;</w:t>
      </w:r>
    </w:p>
    <w:p w:rsidR="00BD56F0" w:rsidRPr="00EE714E" w:rsidRDefault="00BD56F0" w:rsidP="00BD56F0">
      <w:pPr>
        <w:autoSpaceDE w:val="0"/>
        <w:autoSpaceDN w:val="0"/>
        <w:adjustRightInd w:val="0"/>
        <w:ind w:firstLine="567"/>
        <w:jc w:val="both"/>
      </w:pPr>
      <w:r w:rsidRPr="00EE714E">
        <w:rPr>
          <w:noProof/>
          <w:position w:val="-5"/>
        </w:rPr>
        <w:drawing>
          <wp:inline distT="0" distB="0" distL="0" distR="0" wp14:anchorId="0C59E860" wp14:editId="7034701B">
            <wp:extent cx="572494" cy="1803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5408" cy="184444"/>
                    </a:xfrm>
                    <a:prstGeom prst="rect">
                      <a:avLst/>
                    </a:prstGeom>
                    <a:noFill/>
                    <a:ln>
                      <a:noFill/>
                    </a:ln>
                  </pic:spPr>
                </pic:pic>
              </a:graphicData>
            </a:graphic>
          </wp:inline>
        </w:drawing>
      </w:r>
    </w:p>
    <w:p w:rsidR="00BD56F0" w:rsidRPr="00EE714E" w:rsidRDefault="00BD56F0" w:rsidP="00BD56F0">
      <w:pPr>
        <w:autoSpaceDE w:val="0"/>
        <w:autoSpaceDN w:val="0"/>
        <w:adjustRightInd w:val="0"/>
        <w:ind w:firstLine="567"/>
        <w:jc w:val="both"/>
        <w:rPr>
          <w:rFonts w:eastAsia="Calibri"/>
        </w:rPr>
      </w:pPr>
      <w:r w:rsidRPr="00EE714E">
        <w:t xml:space="preserve">где: </w:t>
      </w:r>
      <w:r w:rsidRPr="00EE714E">
        <w:rPr>
          <w:rFonts w:eastAsia="Calibri"/>
        </w:rPr>
        <w:t>N - количество коэффициентов, учитывающих снижение производительности труда.</w:t>
      </w:r>
    </w:p>
    <w:p w:rsidR="00BD56F0" w:rsidRPr="00EE714E" w:rsidRDefault="00BD56F0" w:rsidP="00BD56F0">
      <w:pPr>
        <w:autoSpaceDE w:val="0"/>
        <w:autoSpaceDN w:val="0"/>
        <w:adjustRightInd w:val="0"/>
        <w:ind w:firstLine="709"/>
        <w:jc w:val="both"/>
      </w:pPr>
      <w:r w:rsidRPr="00EE714E">
        <w:t>Коэффициент, приведенный в таблице 3 Приложения № 10 к МОСС или рассчитанный в соответствии с настоящим пунктом Методики применяется при определении сметной стоимости строительства ресурсно-индексным и ресурсным методами: к затратам труда рабочих, времени эксплуатации машин и механизмов и затратам труда машинистов.</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Коэффициенты, учитывающие усложняющие факторы и условия производства работ, применяются одновременно с другими коэффициентами в порядке, установленном МОСС. При одновременном применении коэффициенты перемножаются, результат округляется до семи знаков после запятой.</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Дополнительные затраты при производстве работ в условиях отрицательной температуры воздуха учитываются в главе 9 ССР в установленном порядке.</w:t>
      </w:r>
    </w:p>
    <w:p w:rsidR="00BD56F0" w:rsidRPr="00EE714E" w:rsidRDefault="00BD56F0" w:rsidP="00BD56F0">
      <w:pPr>
        <w:numPr>
          <w:ilvl w:val="1"/>
          <w:numId w:val="1"/>
        </w:numPr>
        <w:tabs>
          <w:tab w:val="left" w:pos="851"/>
          <w:tab w:val="left" w:pos="1418"/>
        </w:tabs>
        <w:spacing w:line="23" w:lineRule="atLeast"/>
        <w:ind w:left="0" w:firstLine="851"/>
        <w:contextualSpacing/>
        <w:jc w:val="both"/>
      </w:pPr>
      <w:r w:rsidRPr="00EE714E">
        <w:t>Для ПНР учет дополнительных затрат при производстве работ в зимнее время возможен при температуре воздуха на рабочем месте ниже 0°C посредством применения коэффициента, указанного в пункте 11 Таблицы 4 Приложения № 10 к МОСС.</w:t>
      </w:r>
    </w:p>
    <w:p w:rsidR="00BD56F0" w:rsidRPr="00EE714E" w:rsidRDefault="00BD56F0" w:rsidP="00BD56F0">
      <w:pPr>
        <w:tabs>
          <w:tab w:val="left" w:pos="851"/>
          <w:tab w:val="left" w:pos="1418"/>
        </w:tabs>
        <w:spacing w:line="23" w:lineRule="atLeast"/>
        <w:ind w:left="851"/>
        <w:contextualSpacing/>
        <w:jc w:val="both"/>
      </w:pPr>
    </w:p>
    <w:p w:rsidR="00BD56F0" w:rsidRPr="00EE714E" w:rsidRDefault="00BD56F0" w:rsidP="00BD56F0">
      <w:pPr>
        <w:keepNext/>
        <w:numPr>
          <w:ilvl w:val="0"/>
          <w:numId w:val="1"/>
        </w:numPr>
        <w:shd w:val="clear" w:color="auto" w:fill="FFFFFF"/>
        <w:autoSpaceDE w:val="0"/>
        <w:autoSpaceDN w:val="0"/>
        <w:adjustRightInd w:val="0"/>
        <w:spacing w:line="23" w:lineRule="atLeast"/>
        <w:jc w:val="both"/>
        <w:outlineLvl w:val="0"/>
        <w:rPr>
          <w:b/>
          <w:bCs/>
          <w:color w:val="000000"/>
          <w:kern w:val="32"/>
        </w:rPr>
      </w:pPr>
      <w:r w:rsidRPr="00EE714E">
        <w:rPr>
          <w:smallCaps/>
          <w:spacing w:val="5"/>
        </w:rPr>
        <w:t>сводный сметный расчет</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ССР разрабатывается в текущем/прогнозном уровне цен.</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При необходимости при определении сметной стоимости базисно-индексным методом одновременно с ССР в текущем/прогнозном уровне цен может быть разработан отдельный ССР в базисном уровне цен. При этом затраты, определяемые в сметной документации с применением нормативов, выраженных в процентах, рассчитываются с применением таких нормативов к текущему уровню цен в отдельных ССР.</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Сметные затраты в ССР распределяются по главам в соответствии с Положением о составе разделов проектной документации и требованиях к их содержанию, утвержденным постановлением Правительства РФ от 16.02.2008 № 87.</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В главу 8 ССР включаются затраты на устройство и ликвидацию титульных временных зданий и сооружений (далее – ВЗиС), перечень которых приведен в Методике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утвержденной приказом Минстроя России от 19.06.2020 № 332/пр в актуальной редакции (далее – Методика 332/пр).</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lastRenderedPageBreak/>
        <w:t>Размер средств, предназначенных на строительство и разборку титульных ВЗиС, по главе 8 ССР определяется:</w:t>
      </w:r>
    </w:p>
    <w:p w:rsidR="00BD56F0" w:rsidRPr="00EE714E" w:rsidRDefault="00BD56F0" w:rsidP="00BD56F0">
      <w:pPr>
        <w:numPr>
          <w:ilvl w:val="2"/>
          <w:numId w:val="1"/>
        </w:numPr>
        <w:tabs>
          <w:tab w:val="left" w:pos="851"/>
        </w:tabs>
        <w:spacing w:before="60" w:after="60" w:line="23" w:lineRule="atLeast"/>
        <w:ind w:left="1560"/>
        <w:contextualSpacing/>
        <w:jc w:val="both"/>
        <w:rPr>
          <w:bCs/>
          <w:color w:val="000000"/>
          <w:kern w:val="32"/>
        </w:rPr>
      </w:pPr>
      <w:r w:rsidRPr="00EE714E">
        <w:rPr>
          <w:bCs/>
          <w:color w:val="000000"/>
          <w:kern w:val="32"/>
        </w:rPr>
        <w:t>По сметным нормативам от итога строительных-монтажных работ по главам 1-7 ССР, установленным приложением 1 к Методике 332/пр, с применением коэффициента 0,8 для объектов реконструкции, технического перевооружения, а также при строительстве вторых и последующих очередей, новых цехов, производств и коммуникаций на территории действующих предприятий и (или) примыкающей к ним территории, а также подлежащим согласованию с заказчиком.</w:t>
      </w:r>
    </w:p>
    <w:p w:rsidR="00BD56F0" w:rsidRPr="00EE714E" w:rsidRDefault="00BD56F0" w:rsidP="00BD56F0">
      <w:pPr>
        <w:numPr>
          <w:ilvl w:val="2"/>
          <w:numId w:val="1"/>
        </w:numPr>
        <w:tabs>
          <w:tab w:val="left" w:pos="851"/>
        </w:tabs>
        <w:spacing w:before="60" w:after="60" w:line="23" w:lineRule="atLeast"/>
        <w:ind w:left="1560"/>
        <w:contextualSpacing/>
        <w:jc w:val="both"/>
        <w:rPr>
          <w:color w:val="000000"/>
        </w:rPr>
      </w:pPr>
      <w:r w:rsidRPr="00EE714E">
        <w:rPr>
          <w:bCs/>
          <w:color w:val="000000"/>
          <w:kern w:val="32"/>
        </w:rPr>
        <w:t xml:space="preserve">Расчетным методом на основании данных ПОС, в соответствии с указанным в нем перечнем и характеристиками титульных ВЗиС, </w:t>
      </w:r>
      <w:r w:rsidRPr="00EE714E">
        <w:rPr>
          <w:color w:val="000000"/>
        </w:rPr>
        <w:t>на основании локальных сметных расчетов (смет) и калькуляций, составленных с применением сметных нормативов, сведения о которых включены в ФРСН:</w:t>
      </w:r>
    </w:p>
    <w:p w:rsidR="00BD56F0" w:rsidRPr="00EE714E" w:rsidRDefault="00BD56F0" w:rsidP="00BD56F0">
      <w:pPr>
        <w:numPr>
          <w:ilvl w:val="0"/>
          <w:numId w:val="2"/>
        </w:numPr>
        <w:tabs>
          <w:tab w:val="num" w:pos="142"/>
          <w:tab w:val="left" w:pos="1134"/>
        </w:tabs>
        <w:spacing w:line="23" w:lineRule="atLeast"/>
        <w:ind w:left="0" w:firstLine="851"/>
        <w:jc w:val="both"/>
      </w:pPr>
      <w:r w:rsidRPr="00EE714E">
        <w:rPr>
          <w:bCs/>
          <w:color w:val="000000"/>
          <w:kern w:val="32"/>
        </w:rPr>
        <w:t xml:space="preserve"> в случае </w:t>
      </w:r>
      <w:r w:rsidRPr="00EE714E">
        <w:t>отсутствия сметных нормативов в Приложении № 1 к Методике 332/пр;</w:t>
      </w:r>
    </w:p>
    <w:p w:rsidR="00BD56F0" w:rsidRPr="00EE714E" w:rsidRDefault="00BD56F0" w:rsidP="00BD56F0">
      <w:pPr>
        <w:numPr>
          <w:ilvl w:val="0"/>
          <w:numId w:val="2"/>
        </w:numPr>
        <w:tabs>
          <w:tab w:val="num" w:pos="142"/>
          <w:tab w:val="left" w:pos="1134"/>
        </w:tabs>
        <w:spacing w:line="23" w:lineRule="atLeast"/>
        <w:ind w:left="0" w:firstLine="851"/>
        <w:jc w:val="both"/>
        <w:rPr>
          <w:bCs/>
          <w:kern w:val="32"/>
        </w:rPr>
      </w:pPr>
      <w:r w:rsidRPr="00EE714E">
        <w:t>в случае принятия расчетного метода в качестве приоритетного при определении затрат на титульные ВЗиС, но не</w:t>
      </w:r>
      <w:r w:rsidRPr="00EE714E">
        <w:rPr>
          <w:bCs/>
          <w:kern w:val="32"/>
        </w:rPr>
        <w:t xml:space="preserve"> выше лимита средств, определенному по нормативу.</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Метод определения затрат на строительство и разборку титульных временных зданий и сооружений устанавливается при подготовке технического задания на разработку проектной документации. Одновременное использование нормативного и расчетного метода не допускается.</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Затраты на возведение, демонтаж, амортизацию, текущий ремонт, эксплуатацию, содержание и перемещение нетитульных временных зданий и сооружений учитываются нормативами накладных расходов.</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Перечень иных временных сооружений и специальных вспомогательных сооружений и устройств, не учтенных нормативами затрат на строительство титульных ВЗиС, а также порядок определения затрат на их устройство и ликвидацию, снос объекта капитального строительства приведены в Методике 332/пр.</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Расчеты между заказчиком и подрядчиком производятся за фактически построенные ВЗиС, подтвержденные сметными расчетами, составленными с применением сметных нормативов, сведения о которых включены в ФРСН, в пределах лимита по главе 8 ССР.</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В главу 9 ССР включается сметная стоимость прочих работ и затрат, не учитываемых в других главах ССР, рекомендуемый перечень которых приведен в Приложении № 9 к МОСС.</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При отрицательных значениях температуры воздуха, когда производство работ осуществляется как на открытых строительных площадках, так и в закрытых помещениях, соответствующие дополнительные затраты учитываются нормативами дополнительных затрат, связанных с выполнением работ в зимнее время (далее - НДЗ) в порядке, установленном Методикой определения дополнительных затрат при производстве работ в зимнее время, утвержденной приказом Минстроя России от 25.05.2021 № 325/пр (далее – Методика 325/пр) в актуальной редакции, включенной в ФРСН.</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НДЗ не предназначены для определения сметной стоимости ПНР и не применяются при определении сметной стоимости мероприятий ТПиР, осуществляемых исключительно в летний период, а также при определении сметной стоимости отдельных видов ремонтно-строительных работ в случае, если выполнение таких работ осуществляется при положительной температуре воздуха в отапливаемых помещениях.</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Дополнительные затраты при производстве работ в зимнее время определяются расчетом по нормам таблицы приложения 1 Методики 325/пр по видам строительства от итога строительных и монтажных работ по главам 1-8 ССР, при производстве СМР в зимнее время на объектах промышленного строительства, в соответствии с температурной зоной и продолжительностью расчетного зимнего периода для каждого конкретного объекта.</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lastRenderedPageBreak/>
        <w:t>В исключительных случаях допускается возмещение затрат при производстве работ в зимнее время по конструкциям и видам работ в соответствии с таблицей Приложения 3 Методики 325/пр.</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Затраты подрядной организации, связанные с выездом рабочего персонала (командировочные расходы, стоимость проезда, проживания, провоз инструментов, приборов, приспособлений и т.д.), определяются расчетом на основании трудоемкости основных рабочих и механизаторов не выше сметной с учетом времени нахождения в пути.</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Рекомендуется принимать суточные, выплачиваемые в соответствии с законодательством Российской Федерации, но не более 700 рублей за каждый день нахождения в командировке на территории Российской Федерации.</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Затраты на проезд и проживание рекомендуется учитывать по наиболее экономичному варианту, определенному на основании сбора информации о текущих ценах в регионе.</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Затраты на проведение ПНР определяются на основании сметных расчетов, сформированных с учетом положений настоящих рекомендаций. При разработке сметной документации для объектов производственного и непроизводственного назначения, связанных с получением дохода от реализации товаров и (или) услуг, сметная стоимость ПНР разделяется на затраты «вхолостую» и «под нагрузкой» в соответствии со структурой ПНР, приведенной в Приложении 8 к МОСС. Необходимость разработки Программы ПНР и, соответственно, составления сметной документации на ПНР должны быть отражены заказчиком в задании на проектирование.</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Затраты, связанные с проведением на территории строительства специальных мероприятий по обеспечению нормальных условий труда, соответствующих требованиям охраны труда и безопасности производства (в том числе затраты на мероприятия по предотвращению вирусных инфекций), определяются расчетом в соответствии с пунктом 13 МОСС, но не выше 0,3 % от стоимости СМР по главам1-8.</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Затраты, связанные с предоставлением обязательной банковской гарантии в качестве обеспечения исполнения контракта и гарантийных обязательств, в случаях, когда указанные затраты являются обязательными по требованию заказчика, учитываются по расчету в соответствии с пунктом 161 МОСС с учетом требований заказчика.</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Затраты на страхование объекта строительства, осуществляемое в соответствии с законодательством Российской Федерации, включаются в ССР согласно ценам и тарифам специализированных организаций в соответствии с пунктом 13 МОСС с учетом требований заказчика.</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В главу 10 ССР включаются затраты на содержание технического заказчика и затраты заказчика на проведение строительного контроля.</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Средства на содержание технического заказчика определяются на основании расчета в соответствии с положениями Методики определения затрат на осуществление функций технического заказчика, утвержденной приказом Минстроя России от 02.06.2020 № 297/пр.</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Размер затрат на осуществление строительного контроля определяется исходя из общей стоимости строительства на основании расчета с применением нормативов, приведенных в приложении к «Положению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РФ от 21.06.2010 № 468.</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В главу 11 ССР включаются затраты, связанные с подготовкой эксплуатационных кадров для реконструируемых объектов капитального строительства, определяемые по сметным расчетам на отдельный вид затрат на основании проектной и (или) иной технической документации.</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Перечень работ и затрат, включаемых в главу 12 ССР, приведен в пункте 171 МОСС.</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lastRenderedPageBreak/>
        <w:t>Включение затрат на осуществление авторского надзора производится по объектам, обязательное проведение авторского надзора по которым предусмотрено законодательством Российской Федерации, а также по решению заказчика.</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Лимит затрат на проведение авторского надзора определяется в размере 0,2% от итога по графе 8 глав 1-9 ССР и включается в графы 7 и 8. В указанном размере затрат не учтена стоимость проезда лиц, осуществляющих авторский надзор, на объект строительства и обратно. Данные затраты определяются дополнительно в порядке, определенном нормативными правовыми актами Российской Федерации, и включаются в главу 12 ССР (графы 7 и 8).</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Определение затрат на проведение государственной экспертизы проектной документации и результатов инженерных изысканий осуществляется в соответствии с постановлением Правительства РФ от 05.03.2007 № 145 «О порядке организации и проведения государственной экспертизы проектной документации и результатов инженерных изысканий».</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При необходимости определения затрат на проведение государственной экологической экспертизы возможно использование полученных по официальному запросу ценовых параметров коммерческих организаций, занимающихся общественной экологической экспертизой, с учетом положений «Порядка определения сметы расходов на проведение государственной экологической экспертизы», утвержденного приказом Минприроды России от 12.05.2014 № 205.</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Расчет средств на проведение технологического и ценового аудита рекомендуется определять в соответствии с постановлением Правительства РФ от 30.04.2013 № 382 «О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 а также на основании калькуляций, составленных потенциальными участниками закупочных процедур по выбору экспертной организации в соответствии с положениями действующего законодательства Российской Федерации с учетом источников финансирования объекта строительства.</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Приведенная в МОСС номенклатура работ и затрат, включаемых в главы 1, 9 и 12 ССР, не является исчерпывающей и может быть дополнена затратами, учитывающими специфические особенности ТПиР и относимыми на капитальные вложения в случаях, предусмотренных законодательством Российской Федерации, а также при соответствующем обосновании проектной и (или) иной технической документацией либо техническим заданием на разработку такой документации.</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Резерв средств на непредвиденные работы и затраты предназначен для возмещения стоимости работ и затрат, потребность в которых возникает в процессе разработки рабочей документации и (или) в ходе строительства в результате уточнения проектных решений и (или) условий строительства, предусмотренных проектной документацией.</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Резерв средств на непредвиденные работы и затраты определяется от итогов по главам 1-12 ССР, отражается отдельной строкой с распределением по графам 4-8. Предельный уровень непредвиденных расходов и затрат составляет 2%. По факту в обязательном порядке подтверждается расчетами Подрядчика. В случае отсутствия обоснования средства остаются у заказчика.</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При расчетах между заказчиком и подрядчиком за фактически выполненные работы часть резерва на непредвиденные работы и затраты, которые подтверждены сметными расчетами передается подрядчику, а неподтвержденная часть остается в распоряжении заказчика.</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 xml:space="preserve">При внесении изменений в сметную документацию разрабатывается ССР, определяющий общую сметную стоимость строительства с учетом произведенных изменений проектной и (или) иной технической документации на полный объем работ с </w:t>
      </w:r>
      <w:r w:rsidRPr="00EE714E">
        <w:rPr>
          <w:bCs/>
          <w:kern w:val="32"/>
        </w:rPr>
        <w:lastRenderedPageBreak/>
        <w:t>учетом объемов корректировки (исключаемых и дополнительных). При необходимости дополнительно могут быть разработаны: отдельный ССР, определяющий сметную стоимость изменений, сопоставительные ведомости объемов работ и сопоставительные ведомости изменения сметной стоимости, подготовленные в соответствии с Приложениями № 12 и 13 к МОСС.</w:t>
      </w:r>
    </w:p>
    <w:p w:rsidR="00BD56F0" w:rsidRPr="00EE714E" w:rsidRDefault="00BD56F0" w:rsidP="00BD56F0">
      <w:pPr>
        <w:tabs>
          <w:tab w:val="left" w:pos="851"/>
          <w:tab w:val="left" w:pos="993"/>
          <w:tab w:val="left" w:pos="1418"/>
        </w:tabs>
        <w:spacing w:after="200" w:line="23" w:lineRule="atLeast"/>
        <w:ind w:left="851"/>
        <w:contextualSpacing/>
        <w:jc w:val="both"/>
        <w:rPr>
          <w:bCs/>
          <w:kern w:val="32"/>
        </w:rPr>
      </w:pPr>
    </w:p>
    <w:p w:rsidR="00BD56F0" w:rsidRPr="00EE714E" w:rsidRDefault="00BD56F0" w:rsidP="00BD56F0">
      <w:pPr>
        <w:keepNext/>
        <w:numPr>
          <w:ilvl w:val="0"/>
          <w:numId w:val="1"/>
        </w:numPr>
        <w:shd w:val="clear" w:color="auto" w:fill="FFFFFF"/>
        <w:autoSpaceDE w:val="0"/>
        <w:autoSpaceDN w:val="0"/>
        <w:adjustRightInd w:val="0"/>
        <w:spacing w:line="23" w:lineRule="atLeast"/>
        <w:jc w:val="both"/>
        <w:outlineLvl w:val="0"/>
        <w:rPr>
          <w:b/>
          <w:bCs/>
          <w:smallCaps/>
          <w:spacing w:val="5"/>
          <w:sz w:val="22"/>
          <w:szCs w:val="22"/>
          <w:lang w:eastAsia="en-US"/>
        </w:rPr>
      </w:pPr>
      <w:r w:rsidRPr="00EE714E">
        <w:rPr>
          <w:smallCaps/>
          <w:spacing w:val="5"/>
          <w:sz w:val="22"/>
          <w:szCs w:val="20"/>
        </w:rPr>
        <w:t>Требования к оформлению сметной документации</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sz w:val="22"/>
          <w:szCs w:val="22"/>
        </w:rPr>
      </w:pPr>
      <w:r w:rsidRPr="00EE714E">
        <w:rPr>
          <w:bCs/>
          <w:kern w:val="32"/>
        </w:rPr>
        <w:t>При подготовке сметной документации следует руководствоваться требованиями к формату документов, представляемых в электронной форме, утверждаемыми Минстроем России в соответствии с пунктом 18 Положения о порядке организации и проведения государственной экспертизы проектной документации и результатов инженерных изысканий, утвержденного постановлением Правительства РФ от 05.03.2007 № 145.</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Требования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установлены приказом Минстроя России от 12.05.2017 № 783/пр.</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Рекомендованные образцы форм сметной документации и требования к их оформлению приведены в Приложениях №№ 2-7 и Примечаниях к ним МОСС.</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Позицией локального сметного расчета является совокупность нормы и неучтенных ею ресурсов, но при этом в составе позиции для сметных норм выводятся как исходные неучтенные ресурсы (с обобщенными наименованиями и кодами групп), так и ресурсы, на которые они были заменены. Производится сквозная нумерация позиций сметного расчета, к которым относятся сметные нормы, а также связанные с ними неучтенные материальные ресурсы.</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Наименования сметных норм в смете указываются полностью, без сокращений, наименования МТР должны содержать максимально полное описание характеристик в соответствии с проектной и (или) иной технической документацией и соответствовать наименованию ФССЦ или обосновывающим сметную цену МТР документам.</w:t>
      </w:r>
    </w:p>
    <w:p w:rsidR="00BD56F0" w:rsidRPr="00EE714E" w:rsidRDefault="00BD56F0" w:rsidP="00BD56F0">
      <w:pPr>
        <w:numPr>
          <w:ilvl w:val="1"/>
          <w:numId w:val="1"/>
        </w:numPr>
        <w:tabs>
          <w:tab w:val="left" w:pos="851"/>
          <w:tab w:val="left" w:pos="993"/>
          <w:tab w:val="left" w:pos="1418"/>
        </w:tabs>
        <w:spacing w:after="200" w:line="23" w:lineRule="atLeast"/>
        <w:ind w:left="0" w:firstLine="851"/>
        <w:contextualSpacing/>
        <w:jc w:val="both"/>
        <w:rPr>
          <w:bCs/>
          <w:kern w:val="32"/>
        </w:rPr>
      </w:pPr>
      <w:r w:rsidRPr="00EE714E">
        <w:rPr>
          <w:bCs/>
          <w:kern w:val="32"/>
        </w:rPr>
        <w:t>При составлении локальных сметных расчетов (смет) детализация объекта капитального строительства на конструктивные решения (элементы) и (или) комплексы (виды) работ определяется заказчиком исходя из архитектурных, функционально-технологических, конструктивных и инженерно-технических решений, содержащихся в проектной и (или) иной технической документации, в зависимости от специфических особенностей объекта капитального строительства.</w:t>
      </w:r>
    </w:p>
    <w:p w:rsidR="005D32D8" w:rsidRDefault="005D32D8">
      <w:bookmarkStart w:id="0" w:name="_GoBack"/>
      <w:bookmarkEnd w:id="0"/>
    </w:p>
    <w:sectPr w:rsidR="005D32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9F49C4"/>
    <w:multiLevelType w:val="hybridMultilevel"/>
    <w:tmpl w:val="59129608"/>
    <w:lvl w:ilvl="0" w:tplc="6748AD7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 w15:restartNumberingAfterBreak="0">
    <w:nsid w:val="7BD610F8"/>
    <w:multiLevelType w:val="multilevel"/>
    <w:tmpl w:val="F590590A"/>
    <w:lvl w:ilvl="0">
      <w:start w:val="1"/>
      <w:numFmt w:val="decimal"/>
      <w:lvlText w:val="%1."/>
      <w:lvlJc w:val="left"/>
      <w:pPr>
        <w:tabs>
          <w:tab w:val="num" w:pos="360"/>
        </w:tabs>
        <w:ind w:left="360" w:hanging="360"/>
      </w:pPr>
      <w:rPr>
        <w:rFonts w:ascii="Times New Roman" w:hAnsi="Times New Roman" w:cs="Times New Roman" w:hint="default"/>
        <w:b w:val="0"/>
        <w:i w:val="0"/>
        <w:color w:val="000000"/>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i w:val="0"/>
        <w:color w:val="000000"/>
        <w:sz w:val="24"/>
        <w:szCs w:val="24"/>
      </w:rPr>
    </w:lvl>
    <w:lvl w:ilvl="2">
      <w:start w:val="1"/>
      <w:numFmt w:val="decimal"/>
      <w:isLgl/>
      <w:lvlText w:val="%1.%2.%3."/>
      <w:lvlJc w:val="left"/>
      <w:pPr>
        <w:tabs>
          <w:tab w:val="num" w:pos="1713"/>
        </w:tabs>
        <w:ind w:left="1713" w:hanging="720"/>
      </w:pPr>
      <w:rPr>
        <w:rFonts w:cs="Times New Roman" w:hint="default"/>
        <w:b w:val="0"/>
        <w:i w:val="0"/>
        <w:sz w:val="24"/>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6F0"/>
    <w:rsid w:val="005D32D8"/>
    <w:rsid w:val="00BD5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DE687E-F211-4B33-A928-9E7C01BB5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56F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5">
    <w:name w:val="Сетка таблицы5"/>
    <w:basedOn w:val="a1"/>
    <w:next w:val="a3"/>
    <w:uiPriority w:val="59"/>
    <w:rsid w:val="00BD56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BD5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7390</Words>
  <Characters>42126</Characters>
  <Application>Microsoft Office Word</Application>
  <DocSecurity>0</DocSecurity>
  <Lines>351</Lines>
  <Paragraphs>98</Paragraphs>
  <ScaleCrop>false</ScaleCrop>
  <Company/>
  <LinksUpToDate>false</LinksUpToDate>
  <CharactersWithSpaces>49418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Андрей Николаевич</dc:creator>
  <cp:keywords/>
  <dc:description/>
  <cp:lastModifiedBy>Воронин Андрей Николаевич</cp:lastModifiedBy>
  <cp:revision>1</cp:revision>
  <dcterms:created xsi:type="dcterms:W3CDTF">2025-04-03T08:44:00Z</dcterms:created>
  <dcterms:modified xsi:type="dcterms:W3CDTF">2025-04-03T08:44:00Z</dcterms:modified>
</cp:coreProperties>
</file>